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3A74" w14:textId="77777777" w:rsidR="00C545AD" w:rsidRDefault="00C545AD" w:rsidP="00C545AD">
      <w:pPr>
        <w:jc w:val="center"/>
      </w:pPr>
      <w:r w:rsidRPr="0023571F">
        <w:rPr>
          <w:rFonts w:cs="Times New Roman"/>
          <w:noProof/>
        </w:rPr>
        <w:drawing>
          <wp:inline distT="0" distB="0" distL="0" distR="0" wp14:anchorId="51F29C7E" wp14:editId="636A6969">
            <wp:extent cx="160782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Mono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3145" cy="695717"/>
                    </a:xfrm>
                    <a:prstGeom prst="rect">
                      <a:avLst/>
                    </a:prstGeom>
                  </pic:spPr>
                </pic:pic>
              </a:graphicData>
            </a:graphic>
          </wp:inline>
        </w:drawing>
      </w:r>
    </w:p>
    <w:p w14:paraId="1F1C6B5B" w14:textId="77777777" w:rsidR="00C545AD" w:rsidRDefault="00C545AD" w:rsidP="00C545AD">
      <w:pPr>
        <w:pStyle w:val="NoSpacing"/>
        <w:jc w:val="center"/>
        <w:rPr>
          <w:b/>
          <w:sz w:val="32"/>
          <w:szCs w:val="32"/>
        </w:rPr>
      </w:pPr>
      <w:r w:rsidRPr="00B63914">
        <w:rPr>
          <w:b/>
          <w:sz w:val="32"/>
          <w:szCs w:val="32"/>
        </w:rPr>
        <w:t>State of Hawaiʻi</w:t>
      </w:r>
    </w:p>
    <w:p w14:paraId="204F353D" w14:textId="77777777" w:rsidR="00C545AD" w:rsidRPr="00B63914" w:rsidRDefault="00C545AD" w:rsidP="00C545AD">
      <w:pPr>
        <w:pStyle w:val="NoSpacing"/>
        <w:jc w:val="center"/>
        <w:rPr>
          <w:b/>
          <w:szCs w:val="24"/>
        </w:rPr>
      </w:pPr>
    </w:p>
    <w:p w14:paraId="19BA1AF6" w14:textId="630BA422" w:rsidR="00C545AD" w:rsidRDefault="00C545AD" w:rsidP="00C545AD">
      <w:pPr>
        <w:pStyle w:val="NoSpacing"/>
        <w:jc w:val="center"/>
        <w:rPr>
          <w:szCs w:val="24"/>
        </w:rPr>
      </w:pPr>
      <w:r>
        <w:rPr>
          <w:szCs w:val="24"/>
        </w:rPr>
        <w:t>560 North Nimitz Highway</w:t>
      </w:r>
      <w:r w:rsidR="00565BC5">
        <w:rPr>
          <w:szCs w:val="24"/>
        </w:rPr>
        <w:t>, Suite 200</w:t>
      </w:r>
    </w:p>
    <w:p w14:paraId="13A912E1" w14:textId="77777777" w:rsidR="00C545AD" w:rsidRDefault="00C545AD" w:rsidP="00C545AD">
      <w:pPr>
        <w:pStyle w:val="NoSpacing"/>
        <w:jc w:val="center"/>
        <w:rPr>
          <w:szCs w:val="24"/>
        </w:rPr>
      </w:pPr>
      <w:r>
        <w:rPr>
          <w:szCs w:val="24"/>
        </w:rPr>
        <w:t>Honolulu, Hawaiʻi 96817</w:t>
      </w:r>
    </w:p>
    <w:p w14:paraId="58460E77" w14:textId="77777777" w:rsidR="00C545AD" w:rsidRDefault="00C545AD" w:rsidP="00C545AD">
      <w:pPr>
        <w:pStyle w:val="NoSpacing"/>
        <w:jc w:val="center"/>
        <w:rPr>
          <w:szCs w:val="24"/>
        </w:rPr>
      </w:pPr>
    </w:p>
    <w:p w14:paraId="12A5C513" w14:textId="22EA39AE" w:rsidR="00C545AD" w:rsidRPr="00DA1DF1" w:rsidRDefault="00B30D21" w:rsidP="00C545AD">
      <w:pPr>
        <w:pStyle w:val="NoSpacing"/>
        <w:jc w:val="center"/>
        <w:rPr>
          <w:szCs w:val="24"/>
        </w:rPr>
      </w:pPr>
      <w:r>
        <w:rPr>
          <w:szCs w:val="24"/>
        </w:rPr>
        <w:t>J</w:t>
      </w:r>
      <w:r w:rsidR="00141569">
        <w:rPr>
          <w:szCs w:val="24"/>
        </w:rPr>
        <w:t>u</w:t>
      </w:r>
      <w:r w:rsidR="00EC57D5">
        <w:rPr>
          <w:szCs w:val="24"/>
        </w:rPr>
        <w:t>ne</w:t>
      </w:r>
      <w:r>
        <w:rPr>
          <w:szCs w:val="24"/>
        </w:rPr>
        <w:t xml:space="preserve"> </w:t>
      </w:r>
      <w:r w:rsidR="00D16616">
        <w:rPr>
          <w:szCs w:val="24"/>
        </w:rPr>
        <w:t>4</w:t>
      </w:r>
      <w:r w:rsidR="003264A7">
        <w:rPr>
          <w:szCs w:val="24"/>
        </w:rPr>
        <w:t>, 2020</w:t>
      </w:r>
    </w:p>
    <w:p w14:paraId="7C861535" w14:textId="77777777" w:rsidR="00C545AD" w:rsidRPr="00DA1DF1" w:rsidRDefault="00C545AD" w:rsidP="00C545AD">
      <w:pPr>
        <w:pStyle w:val="NoSpacing"/>
        <w:jc w:val="center"/>
        <w:rPr>
          <w:szCs w:val="24"/>
        </w:rPr>
      </w:pPr>
    </w:p>
    <w:p w14:paraId="3EE89202" w14:textId="0253BA6C" w:rsidR="00C545AD" w:rsidRPr="00810608" w:rsidRDefault="00C545AD" w:rsidP="00C545AD">
      <w:pPr>
        <w:pStyle w:val="NoSpacing"/>
        <w:jc w:val="center"/>
        <w:rPr>
          <w:b/>
          <w:szCs w:val="24"/>
          <w:lang w:val="haw-US"/>
        </w:rPr>
      </w:pPr>
      <w:r w:rsidRPr="00DA1DF1">
        <w:rPr>
          <w:b/>
          <w:szCs w:val="24"/>
        </w:rPr>
        <w:t>Request for Quotes</w:t>
      </w:r>
      <w:r w:rsidR="005D78E6">
        <w:rPr>
          <w:b/>
          <w:szCs w:val="24"/>
        </w:rPr>
        <w:t xml:space="preserve"> (“RFQ”) No</w:t>
      </w:r>
      <w:r w:rsidR="005D78E6" w:rsidRPr="00322DE5">
        <w:rPr>
          <w:b/>
          <w:szCs w:val="24"/>
        </w:rPr>
        <w:t xml:space="preserve">. </w:t>
      </w:r>
      <w:r w:rsidR="003C62FB">
        <w:rPr>
          <w:b/>
          <w:szCs w:val="24"/>
        </w:rPr>
        <w:t xml:space="preserve">WCH </w:t>
      </w:r>
      <w:r w:rsidR="00914ABD">
        <w:rPr>
          <w:b/>
          <w:szCs w:val="24"/>
        </w:rPr>
        <w:t>2020-</w:t>
      </w:r>
      <w:r w:rsidR="00810608">
        <w:rPr>
          <w:b/>
          <w:szCs w:val="24"/>
          <w:lang w:val="haw-US"/>
        </w:rPr>
        <w:t>35</w:t>
      </w:r>
    </w:p>
    <w:p w14:paraId="2E7DE6F2" w14:textId="77777777" w:rsidR="005423B7" w:rsidRPr="00DA1DF1" w:rsidRDefault="005423B7" w:rsidP="00C545AD">
      <w:pPr>
        <w:pStyle w:val="NoSpacing"/>
        <w:jc w:val="center"/>
        <w:rPr>
          <w:b/>
          <w:szCs w:val="24"/>
        </w:rPr>
      </w:pPr>
    </w:p>
    <w:p w14:paraId="500F088F" w14:textId="28BB4B99" w:rsidR="00C545AD" w:rsidRDefault="003C62FB" w:rsidP="00C545AD">
      <w:pPr>
        <w:pStyle w:val="NoSpacing"/>
        <w:jc w:val="center"/>
        <w:rPr>
          <w:szCs w:val="24"/>
        </w:rPr>
      </w:pPr>
      <w:r w:rsidRPr="003C62FB">
        <w:t>REFINISH</w:t>
      </w:r>
      <w:r w:rsidR="00A647B1">
        <w:t xml:space="preserve"> AND REPLACE</w:t>
      </w:r>
      <w:r w:rsidR="000F7868">
        <w:t xml:space="preserve"> </w:t>
      </w:r>
      <w:r w:rsidRPr="003C62FB">
        <w:t>FLOORING</w:t>
      </w:r>
      <w:r w:rsidR="00AD15D4">
        <w:t xml:space="preserve"> </w:t>
      </w:r>
      <w:r w:rsidRPr="003C62FB">
        <w:t>AT WAI</w:t>
      </w:r>
      <w:r w:rsidR="00534FBA">
        <w:rPr>
          <w:lang w:val="haw-US"/>
        </w:rPr>
        <w:t>A</w:t>
      </w:r>
      <w:r w:rsidRPr="003C62FB">
        <w:t>LUA COURTHOUSE</w:t>
      </w:r>
    </w:p>
    <w:p w14:paraId="6BC83734" w14:textId="77777777" w:rsidR="00C545AD" w:rsidRPr="00DA1DF1" w:rsidRDefault="00C545AD" w:rsidP="00C545AD">
      <w:pPr>
        <w:pStyle w:val="NoSpacing"/>
        <w:jc w:val="center"/>
        <w:rPr>
          <w:szCs w:val="24"/>
        </w:rPr>
      </w:pPr>
    </w:p>
    <w:p w14:paraId="7AFABD40" w14:textId="0A36A20B" w:rsidR="00C545AD" w:rsidRPr="00DA1DF1" w:rsidRDefault="00C545AD" w:rsidP="00C545AD">
      <w:pPr>
        <w:pStyle w:val="NoSpacing"/>
        <w:rPr>
          <w:b/>
          <w:szCs w:val="24"/>
        </w:rPr>
      </w:pPr>
      <w:r w:rsidRPr="00DA1DF1">
        <w:rPr>
          <w:b/>
          <w:szCs w:val="24"/>
        </w:rPr>
        <w:t xml:space="preserve">To All Interested </w:t>
      </w:r>
      <w:r w:rsidR="001C1BE4">
        <w:rPr>
          <w:b/>
          <w:szCs w:val="24"/>
        </w:rPr>
        <w:t>Offerors</w:t>
      </w:r>
      <w:r w:rsidRPr="00DA1DF1">
        <w:rPr>
          <w:b/>
          <w:szCs w:val="24"/>
        </w:rPr>
        <w:t>:</w:t>
      </w:r>
    </w:p>
    <w:p w14:paraId="003B27BB" w14:textId="77777777" w:rsidR="00C545AD" w:rsidRPr="00DA1DF1" w:rsidRDefault="00C545AD" w:rsidP="00C545AD">
      <w:pPr>
        <w:pStyle w:val="NoSpacing"/>
        <w:rPr>
          <w:b/>
          <w:szCs w:val="24"/>
        </w:rPr>
      </w:pPr>
    </w:p>
    <w:p w14:paraId="58140FA5" w14:textId="08C7F734" w:rsidR="00020CEC" w:rsidRDefault="00BF2B7C" w:rsidP="00020CEC">
      <w:pPr>
        <w:pStyle w:val="NoSpacing"/>
      </w:pPr>
      <w:r>
        <w:rPr>
          <w:szCs w:val="24"/>
        </w:rPr>
        <w:t>Notice is hereby given that t</w:t>
      </w:r>
      <w:r w:rsidR="00020CEC" w:rsidRPr="00DA1DF1">
        <w:rPr>
          <w:szCs w:val="24"/>
        </w:rPr>
        <w:t>he Office of Hawaiian Affairs (</w:t>
      </w:r>
      <w:r w:rsidR="00020CEC">
        <w:rPr>
          <w:szCs w:val="24"/>
        </w:rPr>
        <w:t xml:space="preserve">hereinafter </w:t>
      </w:r>
      <w:r w:rsidR="00020CEC" w:rsidRPr="00DA1DF1">
        <w:rPr>
          <w:szCs w:val="24"/>
        </w:rPr>
        <w:t xml:space="preserve">“OHA”) </w:t>
      </w:r>
      <w:r>
        <w:rPr>
          <w:szCs w:val="24"/>
        </w:rPr>
        <w:t>will be accepting quotes from interested Offerors t</w:t>
      </w:r>
      <w:r w:rsidR="00020CEC">
        <w:rPr>
          <w:szCs w:val="24"/>
        </w:rPr>
        <w:t xml:space="preserve">hat can provide the services for </w:t>
      </w:r>
      <w:r w:rsidR="00446E87">
        <w:rPr>
          <w:szCs w:val="24"/>
        </w:rPr>
        <w:t>floor refinishing, replacement of damaged floors, replacement of floor thresholds, and replacement of shoe molding</w:t>
      </w:r>
      <w:r w:rsidR="000141C8">
        <w:rPr>
          <w:szCs w:val="24"/>
        </w:rPr>
        <w:t xml:space="preserve"> at Waialua Courthouse</w:t>
      </w:r>
      <w:r w:rsidR="00B731CB">
        <w:rPr>
          <w:szCs w:val="24"/>
        </w:rPr>
        <w:t>,</w:t>
      </w:r>
      <w:r w:rsidR="00B731CB" w:rsidRPr="00B731CB">
        <w:t xml:space="preserve"> </w:t>
      </w:r>
      <w:r w:rsidR="00B731CB" w:rsidRPr="00B731CB">
        <w:rPr>
          <w:szCs w:val="24"/>
        </w:rPr>
        <w:t>located at 66-207 Kamehameha Highway, Hale‘iwa, O‘ahu, Hawai‘i, TMK No: 6-6-009:0023.</w:t>
      </w:r>
    </w:p>
    <w:p w14:paraId="1F099752" w14:textId="77777777" w:rsidR="00B731CB" w:rsidRDefault="00B731CB" w:rsidP="00B731CB">
      <w:pPr>
        <w:pStyle w:val="Default"/>
      </w:pPr>
    </w:p>
    <w:p w14:paraId="7CA47F57" w14:textId="77777777" w:rsidR="001C1BE4" w:rsidRDefault="00B731CB" w:rsidP="00B731CB">
      <w:pPr>
        <w:pStyle w:val="NoSpacing"/>
        <w:rPr>
          <w:szCs w:val="24"/>
        </w:rPr>
      </w:pPr>
      <w:r w:rsidRPr="00B731CB">
        <w:rPr>
          <w:szCs w:val="24"/>
        </w:rPr>
        <w:t xml:space="preserve">A site inspection for all interested </w:t>
      </w:r>
      <w:r w:rsidR="00490A4C">
        <w:rPr>
          <w:szCs w:val="24"/>
        </w:rPr>
        <w:t>Offerors</w:t>
      </w:r>
      <w:r w:rsidRPr="00B731CB">
        <w:rPr>
          <w:szCs w:val="24"/>
        </w:rPr>
        <w:t xml:space="preserve"> will be held on </w:t>
      </w:r>
      <w:r w:rsidR="00155A3F">
        <w:rPr>
          <w:szCs w:val="24"/>
        </w:rPr>
        <w:t>Monday</w:t>
      </w:r>
      <w:r w:rsidRPr="00C2005A">
        <w:rPr>
          <w:szCs w:val="24"/>
        </w:rPr>
        <w:t xml:space="preserve">, </w:t>
      </w:r>
      <w:r w:rsidR="00710613" w:rsidRPr="00C2005A">
        <w:rPr>
          <w:szCs w:val="24"/>
        </w:rPr>
        <w:t>June 15</w:t>
      </w:r>
      <w:r w:rsidRPr="00C2005A">
        <w:rPr>
          <w:szCs w:val="24"/>
        </w:rPr>
        <w:t xml:space="preserve">, 2020 </w:t>
      </w:r>
      <w:r w:rsidR="001B7287" w:rsidRPr="00C2005A">
        <w:rPr>
          <w:szCs w:val="24"/>
        </w:rPr>
        <w:t>from 9:00 a</w:t>
      </w:r>
      <w:r w:rsidR="006E383E" w:rsidRPr="00C2005A">
        <w:rPr>
          <w:szCs w:val="24"/>
        </w:rPr>
        <w:t>.</w:t>
      </w:r>
      <w:r w:rsidR="001B7287" w:rsidRPr="00C2005A">
        <w:rPr>
          <w:szCs w:val="24"/>
        </w:rPr>
        <w:t>m</w:t>
      </w:r>
      <w:r w:rsidR="006E383E" w:rsidRPr="00C2005A">
        <w:rPr>
          <w:szCs w:val="24"/>
        </w:rPr>
        <w:t>.</w:t>
      </w:r>
      <w:r w:rsidR="001B7287" w:rsidRPr="00C2005A">
        <w:rPr>
          <w:szCs w:val="24"/>
        </w:rPr>
        <w:t xml:space="preserve"> to </w:t>
      </w:r>
      <w:r w:rsidRPr="00C2005A">
        <w:rPr>
          <w:szCs w:val="24"/>
        </w:rPr>
        <w:t>1</w:t>
      </w:r>
      <w:r w:rsidR="001B7287" w:rsidRPr="00C2005A">
        <w:rPr>
          <w:szCs w:val="24"/>
        </w:rPr>
        <w:t>2</w:t>
      </w:r>
      <w:r w:rsidRPr="00C2005A">
        <w:rPr>
          <w:szCs w:val="24"/>
        </w:rPr>
        <w:t xml:space="preserve">:00 </w:t>
      </w:r>
      <w:r w:rsidR="001B7287" w:rsidRPr="00C2005A">
        <w:rPr>
          <w:szCs w:val="24"/>
        </w:rPr>
        <w:t>noon</w:t>
      </w:r>
      <w:r w:rsidRPr="00C2005A">
        <w:rPr>
          <w:szCs w:val="24"/>
        </w:rPr>
        <w:t xml:space="preserve"> </w:t>
      </w:r>
      <w:r w:rsidR="00155A3F" w:rsidRPr="00B731CB">
        <w:rPr>
          <w:szCs w:val="24"/>
        </w:rPr>
        <w:t>Hawai‘i</w:t>
      </w:r>
      <w:r w:rsidR="00155A3F">
        <w:rPr>
          <w:szCs w:val="24"/>
        </w:rPr>
        <w:t xml:space="preserve"> Standard Time</w:t>
      </w:r>
      <w:r w:rsidRPr="00B731CB">
        <w:rPr>
          <w:szCs w:val="24"/>
        </w:rPr>
        <w:t xml:space="preserve">. All interested </w:t>
      </w:r>
      <w:r w:rsidR="00490A4C">
        <w:rPr>
          <w:szCs w:val="24"/>
        </w:rPr>
        <w:t xml:space="preserve">Offerors </w:t>
      </w:r>
      <w:r w:rsidRPr="00B731CB">
        <w:rPr>
          <w:szCs w:val="24"/>
        </w:rPr>
        <w:t>shall meet at the Wai</w:t>
      </w:r>
      <w:r>
        <w:rPr>
          <w:szCs w:val="24"/>
        </w:rPr>
        <w:t>a</w:t>
      </w:r>
      <w:r w:rsidRPr="00B731CB">
        <w:rPr>
          <w:szCs w:val="24"/>
        </w:rPr>
        <w:t>lua Courthouse, 66-207 Kamehameha Highway, Hale‘iwa, O‘ahu.</w:t>
      </w:r>
      <w:r w:rsidR="00B8314F">
        <w:rPr>
          <w:szCs w:val="24"/>
        </w:rPr>
        <w:t xml:space="preserve">  P</w:t>
      </w:r>
      <w:r w:rsidR="00B8314F" w:rsidRPr="00B731CB">
        <w:rPr>
          <w:szCs w:val="24"/>
        </w:rPr>
        <w:t xml:space="preserve">lease contact </w:t>
      </w:r>
      <w:r w:rsidR="00B8314F">
        <w:rPr>
          <w:szCs w:val="24"/>
        </w:rPr>
        <w:t>Taylor Asao</w:t>
      </w:r>
      <w:r w:rsidR="000F175D">
        <w:rPr>
          <w:szCs w:val="24"/>
        </w:rPr>
        <w:t xml:space="preserve"> </w:t>
      </w:r>
      <w:r w:rsidR="00B8314F">
        <w:rPr>
          <w:szCs w:val="24"/>
        </w:rPr>
        <w:t>t</w:t>
      </w:r>
      <w:r w:rsidRPr="00B731CB">
        <w:rPr>
          <w:szCs w:val="24"/>
        </w:rPr>
        <w:t>o RSVP</w:t>
      </w:r>
      <w:r w:rsidR="00FC6FEA">
        <w:rPr>
          <w:szCs w:val="24"/>
        </w:rPr>
        <w:t xml:space="preserve"> </w:t>
      </w:r>
      <w:r w:rsidRPr="00B731CB">
        <w:rPr>
          <w:szCs w:val="24"/>
        </w:rPr>
        <w:t>for the site inspection</w:t>
      </w:r>
      <w:r w:rsidR="00261C59">
        <w:rPr>
          <w:szCs w:val="24"/>
        </w:rPr>
        <w:t>,</w:t>
      </w:r>
      <w:r w:rsidRPr="00B731CB">
        <w:rPr>
          <w:szCs w:val="24"/>
        </w:rPr>
        <w:t xml:space="preserve"> </w:t>
      </w:r>
      <w:r w:rsidR="006063EA">
        <w:rPr>
          <w:szCs w:val="24"/>
        </w:rPr>
        <w:t xml:space="preserve">by </w:t>
      </w:r>
      <w:r w:rsidR="00627ED3">
        <w:rPr>
          <w:szCs w:val="24"/>
        </w:rPr>
        <w:t>Wednesday</w:t>
      </w:r>
      <w:r w:rsidR="00FA66DA">
        <w:rPr>
          <w:szCs w:val="24"/>
        </w:rPr>
        <w:t>,</w:t>
      </w:r>
      <w:r w:rsidR="00627ED3">
        <w:rPr>
          <w:szCs w:val="24"/>
        </w:rPr>
        <w:t xml:space="preserve"> June 10, 2020</w:t>
      </w:r>
      <w:r w:rsidR="0079600F">
        <w:rPr>
          <w:szCs w:val="24"/>
        </w:rPr>
        <w:t xml:space="preserve"> </w:t>
      </w:r>
      <w:r w:rsidR="001855D7" w:rsidRPr="00B731CB">
        <w:rPr>
          <w:szCs w:val="24"/>
        </w:rPr>
        <w:t>Hawai‘i</w:t>
      </w:r>
      <w:r w:rsidR="001855D7">
        <w:rPr>
          <w:szCs w:val="24"/>
        </w:rPr>
        <w:t xml:space="preserve"> Standard Time</w:t>
      </w:r>
      <w:r w:rsidRPr="00B731CB">
        <w:rPr>
          <w:szCs w:val="24"/>
        </w:rPr>
        <w:t>, by email at</w:t>
      </w:r>
      <w:r w:rsidR="00421407">
        <w:rPr>
          <w:szCs w:val="24"/>
        </w:rPr>
        <w:t xml:space="preserve"> </w:t>
      </w:r>
      <w:hyperlink r:id="rId12" w:history="1">
        <w:r w:rsidR="00DE63E3" w:rsidRPr="00917999">
          <w:rPr>
            <w:rStyle w:val="Hyperlink"/>
            <w:szCs w:val="24"/>
          </w:rPr>
          <w:t>taylora@oha.org</w:t>
        </w:r>
      </w:hyperlink>
      <w:r w:rsidR="00DE63E3">
        <w:rPr>
          <w:szCs w:val="24"/>
        </w:rPr>
        <w:t>.</w:t>
      </w:r>
      <w:r w:rsidR="00211E9F">
        <w:rPr>
          <w:szCs w:val="24"/>
        </w:rPr>
        <w:t xml:space="preserve">  Appointments will be </w:t>
      </w:r>
      <w:r w:rsidR="000D6931">
        <w:rPr>
          <w:szCs w:val="24"/>
        </w:rPr>
        <w:t xml:space="preserve">scheduled </w:t>
      </w:r>
      <w:r w:rsidR="00211E9F">
        <w:rPr>
          <w:szCs w:val="24"/>
        </w:rPr>
        <w:t>in 30 minute increments.</w:t>
      </w:r>
      <w:r w:rsidR="00381D97">
        <w:rPr>
          <w:szCs w:val="24"/>
        </w:rPr>
        <w:t xml:space="preserve">  </w:t>
      </w:r>
    </w:p>
    <w:p w14:paraId="62E17BED" w14:textId="77777777" w:rsidR="001C1BE4" w:rsidRDefault="001C1BE4" w:rsidP="00B731CB">
      <w:pPr>
        <w:pStyle w:val="NoSpacing"/>
        <w:rPr>
          <w:szCs w:val="24"/>
        </w:rPr>
      </w:pPr>
    </w:p>
    <w:p w14:paraId="72A5A201" w14:textId="2EC4F6E8" w:rsidR="00B731CB" w:rsidRPr="00B731CB" w:rsidRDefault="00381D97" w:rsidP="00B731CB">
      <w:pPr>
        <w:pStyle w:val="NoSpacing"/>
        <w:rPr>
          <w:szCs w:val="24"/>
        </w:rPr>
      </w:pPr>
      <w:r>
        <w:rPr>
          <w:szCs w:val="24"/>
        </w:rPr>
        <w:t xml:space="preserve">Due to the COVID-19, </w:t>
      </w:r>
      <w:r w:rsidRPr="00381D97">
        <w:rPr>
          <w:szCs w:val="24"/>
        </w:rPr>
        <w:t xml:space="preserve">we are requesting that all </w:t>
      </w:r>
      <w:r w:rsidR="001C1BE4">
        <w:rPr>
          <w:szCs w:val="24"/>
        </w:rPr>
        <w:t>O</w:t>
      </w:r>
      <w:r w:rsidRPr="00381D97">
        <w:rPr>
          <w:szCs w:val="24"/>
        </w:rPr>
        <w:t xml:space="preserve">fferors who plan to attend the site </w:t>
      </w:r>
      <w:r w:rsidR="007418D8">
        <w:rPr>
          <w:szCs w:val="24"/>
        </w:rPr>
        <w:t>inspection</w:t>
      </w:r>
      <w:r w:rsidR="009D5164">
        <w:rPr>
          <w:szCs w:val="24"/>
        </w:rPr>
        <w:t xml:space="preserve"> </w:t>
      </w:r>
      <w:r w:rsidRPr="00381D97">
        <w:rPr>
          <w:szCs w:val="24"/>
        </w:rPr>
        <w:t xml:space="preserve">adhere to the following: </w:t>
      </w:r>
      <w:r w:rsidR="003C406E">
        <w:rPr>
          <w:szCs w:val="24"/>
        </w:rPr>
        <w:t>wear</w:t>
      </w:r>
      <w:r w:rsidR="00E21BC9">
        <w:rPr>
          <w:szCs w:val="24"/>
        </w:rPr>
        <w:t xml:space="preserve"> </w:t>
      </w:r>
      <w:r w:rsidR="00A9391F">
        <w:rPr>
          <w:szCs w:val="24"/>
        </w:rPr>
        <w:t xml:space="preserve">a </w:t>
      </w:r>
      <w:r w:rsidR="00E21BC9">
        <w:rPr>
          <w:szCs w:val="24"/>
        </w:rPr>
        <w:t>fac</w:t>
      </w:r>
      <w:r w:rsidR="00DC483B">
        <w:rPr>
          <w:szCs w:val="24"/>
        </w:rPr>
        <w:t>e covering</w:t>
      </w:r>
      <w:r w:rsidR="003C406E">
        <w:rPr>
          <w:szCs w:val="24"/>
        </w:rPr>
        <w:t xml:space="preserve">, </w:t>
      </w:r>
      <w:r w:rsidR="001A5BE5">
        <w:rPr>
          <w:szCs w:val="24"/>
        </w:rPr>
        <w:t>stay at least</w:t>
      </w:r>
      <w:r w:rsidR="003C406E">
        <w:rPr>
          <w:szCs w:val="24"/>
        </w:rPr>
        <w:t xml:space="preserve"> </w:t>
      </w:r>
      <w:r w:rsidRPr="00381D97">
        <w:rPr>
          <w:szCs w:val="24"/>
        </w:rPr>
        <w:t>6 f</w:t>
      </w:r>
      <w:r w:rsidR="001A5BE5">
        <w:rPr>
          <w:szCs w:val="24"/>
        </w:rPr>
        <w:t>ee</w:t>
      </w:r>
      <w:r w:rsidRPr="00381D97">
        <w:rPr>
          <w:szCs w:val="24"/>
        </w:rPr>
        <w:t>t apart</w:t>
      </w:r>
      <w:r w:rsidR="001A5BE5">
        <w:rPr>
          <w:szCs w:val="24"/>
        </w:rPr>
        <w:t xml:space="preserve"> from </w:t>
      </w:r>
      <w:r w:rsidR="0080191C">
        <w:rPr>
          <w:szCs w:val="24"/>
        </w:rPr>
        <w:t>other people</w:t>
      </w:r>
      <w:r w:rsidRPr="00381D97">
        <w:rPr>
          <w:szCs w:val="24"/>
        </w:rPr>
        <w:t xml:space="preserve">, </w:t>
      </w:r>
      <w:r w:rsidR="0080191C">
        <w:rPr>
          <w:szCs w:val="24"/>
        </w:rPr>
        <w:t xml:space="preserve">and </w:t>
      </w:r>
      <w:r w:rsidRPr="00381D97">
        <w:rPr>
          <w:szCs w:val="24"/>
        </w:rPr>
        <w:t>limit to only one representative.</w:t>
      </w:r>
    </w:p>
    <w:p w14:paraId="688C9D67" w14:textId="77777777" w:rsidR="00B731CB" w:rsidRPr="00B731CB" w:rsidRDefault="00B731CB" w:rsidP="00B731CB">
      <w:pPr>
        <w:pStyle w:val="NoSpacing"/>
        <w:rPr>
          <w:szCs w:val="24"/>
        </w:rPr>
      </w:pPr>
    </w:p>
    <w:p w14:paraId="5F33333A" w14:textId="387638ED" w:rsidR="00C545AD" w:rsidRDefault="00C545AD" w:rsidP="00C545AD">
      <w:pPr>
        <w:pStyle w:val="NoSpacing"/>
        <w:rPr>
          <w:szCs w:val="24"/>
        </w:rPr>
      </w:pPr>
      <w:r w:rsidRPr="005A0FDE">
        <w:rPr>
          <w:szCs w:val="24"/>
        </w:rPr>
        <w:t>The</w:t>
      </w:r>
      <w:r>
        <w:rPr>
          <w:szCs w:val="24"/>
        </w:rPr>
        <w:t xml:space="preserve"> term of t</w:t>
      </w:r>
      <w:r w:rsidR="00556EBA">
        <w:rPr>
          <w:szCs w:val="24"/>
        </w:rPr>
        <w:t xml:space="preserve">his Contract shall be for </w:t>
      </w:r>
      <w:r w:rsidR="00CF61C1">
        <w:rPr>
          <w:szCs w:val="24"/>
        </w:rPr>
        <w:t>TWELVE</w:t>
      </w:r>
      <w:r w:rsidR="00556EBA">
        <w:rPr>
          <w:szCs w:val="24"/>
        </w:rPr>
        <w:t xml:space="preserve"> (</w:t>
      </w:r>
      <w:r w:rsidR="00CF61C1">
        <w:rPr>
          <w:szCs w:val="24"/>
        </w:rPr>
        <w:t>12</w:t>
      </w:r>
      <w:r>
        <w:rPr>
          <w:szCs w:val="24"/>
        </w:rPr>
        <w:t>) months from</w:t>
      </w:r>
      <w:r w:rsidRPr="00DA1DF1">
        <w:rPr>
          <w:szCs w:val="24"/>
        </w:rPr>
        <w:t xml:space="preserve"> </w:t>
      </w:r>
      <w:r w:rsidR="00BC46B6">
        <w:rPr>
          <w:szCs w:val="24"/>
        </w:rPr>
        <w:t>August 1, 2020</w:t>
      </w:r>
      <w:r w:rsidR="00556EBA">
        <w:rPr>
          <w:szCs w:val="24"/>
        </w:rPr>
        <w:t xml:space="preserve"> through and including </w:t>
      </w:r>
      <w:r w:rsidR="00BC46B6">
        <w:rPr>
          <w:szCs w:val="24"/>
        </w:rPr>
        <w:t>July 31, 2021</w:t>
      </w:r>
      <w:r>
        <w:rPr>
          <w:szCs w:val="24"/>
        </w:rPr>
        <w:t xml:space="preserve"> </w:t>
      </w:r>
      <w:r w:rsidRPr="00511D8D">
        <w:rPr>
          <w:szCs w:val="24"/>
        </w:rPr>
        <w:t>subject</w:t>
      </w:r>
      <w:r>
        <w:rPr>
          <w:szCs w:val="24"/>
        </w:rPr>
        <w:t xml:space="preserve"> to the availability of funds.</w:t>
      </w:r>
    </w:p>
    <w:p w14:paraId="4A413114" w14:textId="77777777" w:rsidR="00C545AD" w:rsidRDefault="00C545AD" w:rsidP="00C545AD">
      <w:pPr>
        <w:pStyle w:val="NoSpacing"/>
        <w:rPr>
          <w:szCs w:val="24"/>
        </w:rPr>
      </w:pPr>
    </w:p>
    <w:p w14:paraId="4204B384" w14:textId="4CFC031D" w:rsidR="00C545AD" w:rsidRDefault="00C545AD" w:rsidP="00C545AD">
      <w:pPr>
        <w:pStyle w:val="NoSpacing"/>
        <w:rPr>
          <w:b/>
          <w:szCs w:val="24"/>
        </w:rPr>
      </w:pPr>
      <w:r>
        <w:rPr>
          <w:b/>
          <w:szCs w:val="24"/>
        </w:rPr>
        <w:t xml:space="preserve">Quotes </w:t>
      </w:r>
      <w:r w:rsidR="00BF2B7C">
        <w:rPr>
          <w:b/>
          <w:szCs w:val="24"/>
        </w:rPr>
        <w:t xml:space="preserve">must </w:t>
      </w:r>
      <w:r w:rsidR="00FA1D3A">
        <w:rPr>
          <w:b/>
          <w:szCs w:val="24"/>
        </w:rPr>
        <w:t>be received th</w:t>
      </w:r>
      <w:r w:rsidR="00556EBA">
        <w:rPr>
          <w:b/>
          <w:szCs w:val="24"/>
        </w:rPr>
        <w:t>ro</w:t>
      </w:r>
      <w:r w:rsidR="00BF2B7C">
        <w:rPr>
          <w:b/>
          <w:szCs w:val="24"/>
        </w:rPr>
        <w:t>ugh the HIePRO website by 2:00</w:t>
      </w:r>
      <w:r w:rsidR="00FA1D3A">
        <w:rPr>
          <w:b/>
          <w:szCs w:val="24"/>
        </w:rPr>
        <w:t xml:space="preserve"> p.m. </w:t>
      </w:r>
      <w:r w:rsidR="005068E0" w:rsidRPr="005068E0">
        <w:rPr>
          <w:b/>
          <w:bCs/>
          <w:szCs w:val="24"/>
        </w:rPr>
        <w:t>Hawai‘i</w:t>
      </w:r>
      <w:r w:rsidR="005068E0">
        <w:rPr>
          <w:b/>
          <w:szCs w:val="24"/>
        </w:rPr>
        <w:t xml:space="preserve"> </w:t>
      </w:r>
      <w:r w:rsidR="00FA1D3A">
        <w:rPr>
          <w:b/>
          <w:szCs w:val="24"/>
        </w:rPr>
        <w:t>S</w:t>
      </w:r>
      <w:r w:rsidR="005068E0">
        <w:rPr>
          <w:b/>
          <w:szCs w:val="24"/>
        </w:rPr>
        <w:t xml:space="preserve">tandard </w:t>
      </w:r>
      <w:r w:rsidR="00FA1D3A">
        <w:rPr>
          <w:b/>
          <w:szCs w:val="24"/>
        </w:rPr>
        <w:t>T</w:t>
      </w:r>
      <w:r w:rsidR="005068E0">
        <w:rPr>
          <w:b/>
          <w:szCs w:val="24"/>
        </w:rPr>
        <w:t>ime</w:t>
      </w:r>
      <w:r w:rsidR="00FA1D3A">
        <w:rPr>
          <w:b/>
          <w:szCs w:val="24"/>
        </w:rPr>
        <w:t xml:space="preserve"> on</w:t>
      </w:r>
      <w:r w:rsidR="00A7488F">
        <w:rPr>
          <w:b/>
          <w:szCs w:val="24"/>
        </w:rPr>
        <w:t xml:space="preserve"> </w:t>
      </w:r>
      <w:r w:rsidR="00BE1F32">
        <w:rPr>
          <w:b/>
          <w:szCs w:val="24"/>
        </w:rPr>
        <w:t>Wednesday</w:t>
      </w:r>
      <w:r w:rsidR="00404E14">
        <w:rPr>
          <w:b/>
          <w:szCs w:val="24"/>
        </w:rPr>
        <w:t>, July 1, 2020</w:t>
      </w:r>
      <w:r w:rsidRPr="00322DE5">
        <w:rPr>
          <w:b/>
          <w:szCs w:val="24"/>
        </w:rPr>
        <w:t>.</w:t>
      </w:r>
      <w:r w:rsidR="00FA1D3A">
        <w:rPr>
          <w:b/>
          <w:szCs w:val="24"/>
        </w:rPr>
        <w:t xml:space="preserve">  </w:t>
      </w:r>
    </w:p>
    <w:p w14:paraId="6454C394" w14:textId="10A01AB5" w:rsidR="00DF487C" w:rsidRDefault="00DF487C" w:rsidP="00C545AD">
      <w:pPr>
        <w:pStyle w:val="NoSpacing"/>
        <w:rPr>
          <w:b/>
          <w:szCs w:val="24"/>
        </w:rPr>
      </w:pPr>
    </w:p>
    <w:p w14:paraId="5FFEC994" w14:textId="252BF61C" w:rsidR="00FF41A3" w:rsidRDefault="00FF41A3" w:rsidP="00FF41A3">
      <w:pPr>
        <w:pStyle w:val="NoSpacing"/>
      </w:pPr>
      <w:bookmarkStart w:id="0" w:name="_Hlk12003783"/>
      <w:r>
        <w:t xml:space="preserve">Pursuant to HAR </w:t>
      </w:r>
      <w:r>
        <w:rPr>
          <w:rFonts w:cs="Times New Roman"/>
        </w:rPr>
        <w:t>§</w:t>
      </w:r>
      <w:r>
        <w:t>3-122-7</w:t>
      </w:r>
      <w:bookmarkEnd w:id="0"/>
      <w:r>
        <w:t xml:space="preserve">5, </w:t>
      </w:r>
      <w:r w:rsidR="00D07C9F">
        <w:t>considering the criteria</w:t>
      </w:r>
      <w:r w:rsidR="00EB5103">
        <w:t>,</w:t>
      </w:r>
      <w:r w:rsidR="00D07C9F">
        <w:t xml:space="preserve"> </w:t>
      </w:r>
      <w:r w:rsidR="00ED4A0A">
        <w:t>including but not limited to</w:t>
      </w:r>
      <w:r w:rsidR="002B0953">
        <w:t xml:space="preserve"> quality, warranty, and delivery;</w:t>
      </w:r>
      <w:r w:rsidR="009C1F30">
        <w:t xml:space="preserve"> the</w:t>
      </w:r>
      <w:r w:rsidR="002B0953">
        <w:t xml:space="preserve"> award </w:t>
      </w:r>
      <w:r>
        <w:t xml:space="preserve">shall be made to the lowest </w:t>
      </w:r>
      <w:r w:rsidR="001C59BE">
        <w:t xml:space="preserve">most </w:t>
      </w:r>
      <w:r>
        <w:t xml:space="preserve">responsive, responsible offeror.   When the award to the lowest responsive, responsible offeror is not practicable, </w:t>
      </w:r>
      <w:r w:rsidR="00F71564">
        <w:t xml:space="preserve">the </w:t>
      </w:r>
      <w:r>
        <w:t xml:space="preserve">award shall be made to the offeror whose </w:t>
      </w:r>
      <w:r w:rsidR="00B034C9">
        <w:t xml:space="preserve">quotation </w:t>
      </w:r>
      <w:r>
        <w:t>provide</w:t>
      </w:r>
      <w:r w:rsidR="00511D2B">
        <w:t>s</w:t>
      </w:r>
      <w:r>
        <w:t xml:space="preserve"> the best value to </w:t>
      </w:r>
      <w:r w:rsidR="007B6D46">
        <w:t xml:space="preserve">the </w:t>
      </w:r>
      <w:r>
        <w:t xml:space="preserve">OHA. </w:t>
      </w:r>
    </w:p>
    <w:p w14:paraId="4C88203C" w14:textId="77777777" w:rsidR="00FF41A3" w:rsidRDefault="00FF41A3" w:rsidP="00FF41A3">
      <w:pPr>
        <w:pStyle w:val="NoSpacing"/>
      </w:pPr>
    </w:p>
    <w:p w14:paraId="192884B1" w14:textId="7DB38C76" w:rsidR="00404E14" w:rsidRDefault="00FF41A3" w:rsidP="00DF487C">
      <w:pPr>
        <w:pStyle w:val="NoSpacing"/>
      </w:pPr>
      <w:r w:rsidRPr="00DA1DF1">
        <w:lastRenderedPageBreak/>
        <w:t xml:space="preserve">The OHA reserves the right to reject any or all quotes and to accept the quotes in whole or part in the best interest of the OHA. </w:t>
      </w:r>
    </w:p>
    <w:p w14:paraId="6C2091D0" w14:textId="77777777" w:rsidR="00A205F7" w:rsidRDefault="00A205F7" w:rsidP="00DF487C">
      <w:pPr>
        <w:pStyle w:val="NoSpacing"/>
      </w:pPr>
    </w:p>
    <w:p w14:paraId="2198FDAE" w14:textId="3D583A56" w:rsidR="00DF487C" w:rsidRDefault="002A7369" w:rsidP="00DF487C">
      <w:pPr>
        <w:pStyle w:val="NoSpacing"/>
        <w:rPr>
          <w:b/>
          <w:u w:val="single"/>
        </w:rPr>
      </w:pPr>
      <w:r>
        <w:rPr>
          <w:b/>
          <w:u w:val="single"/>
        </w:rPr>
        <w:t>Background</w:t>
      </w:r>
    </w:p>
    <w:p w14:paraId="0548CB0A" w14:textId="77777777" w:rsidR="00DF487C" w:rsidRDefault="00DF487C" w:rsidP="00DF487C">
      <w:pPr>
        <w:pStyle w:val="NoSpacing"/>
        <w:rPr>
          <w:b/>
          <w:u w:val="single"/>
        </w:rPr>
      </w:pPr>
    </w:p>
    <w:p w14:paraId="4967B455" w14:textId="10AA25C6" w:rsidR="00C545AD" w:rsidRDefault="00AB733A" w:rsidP="00C545AD">
      <w:pPr>
        <w:pStyle w:val="NoSpacing"/>
      </w:pPr>
      <w:r w:rsidRPr="00AB733A">
        <w:t>The Waialua Courthouse is a historic structure and a marquee landmark near the gateway to Haleʻiwa Town.  The Courthouse is managed by the OHA in order to provide a land base for beneficiaries and beneficiary organizations to gather, meet, plan and perpetuate Hawaiian culture. As such, community groups such as hula h</w:t>
      </w:r>
      <w:r w:rsidR="003340E6" w:rsidRPr="003340E6">
        <w:t>ā</w:t>
      </w:r>
      <w:r w:rsidRPr="00AB733A">
        <w:t xml:space="preserve">lau currently use the meeting room facilities throughout the week.  The </w:t>
      </w:r>
      <w:r w:rsidR="00B02ABA">
        <w:t>Offeror</w:t>
      </w:r>
      <w:r w:rsidRPr="00AB733A">
        <w:t xml:space="preserve"> shall work with the OHA to schedule contract services</w:t>
      </w:r>
      <w:r w:rsidR="00820040">
        <w:t>.</w:t>
      </w:r>
    </w:p>
    <w:p w14:paraId="35C6C0ED" w14:textId="77777777" w:rsidR="00EF260E" w:rsidRDefault="00EF260E" w:rsidP="00C545AD">
      <w:pPr>
        <w:pStyle w:val="NoSpacing"/>
        <w:rPr>
          <w:b/>
          <w:szCs w:val="24"/>
        </w:rPr>
      </w:pPr>
    </w:p>
    <w:p w14:paraId="0B70F679" w14:textId="59265975" w:rsidR="00C545AD" w:rsidRDefault="002A7369" w:rsidP="00C545AD">
      <w:pPr>
        <w:pStyle w:val="NoSpacing"/>
        <w:rPr>
          <w:b/>
          <w:u w:val="single"/>
        </w:rPr>
      </w:pPr>
      <w:r>
        <w:rPr>
          <w:b/>
          <w:u w:val="single"/>
        </w:rPr>
        <w:t>Scope of Work</w:t>
      </w:r>
    </w:p>
    <w:p w14:paraId="2F42BD43" w14:textId="77777777" w:rsidR="0063283D" w:rsidRPr="00641757" w:rsidRDefault="0063283D" w:rsidP="00C545AD">
      <w:pPr>
        <w:pStyle w:val="NoSpacing"/>
        <w:rPr>
          <w:b/>
          <w:u w:val="single"/>
        </w:rPr>
      </w:pPr>
    </w:p>
    <w:p w14:paraId="38E079DC" w14:textId="6B330B31" w:rsidR="00A707B5" w:rsidRDefault="00A707B5" w:rsidP="00A707B5">
      <w:pPr>
        <w:pStyle w:val="NoSpacing"/>
        <w:spacing w:line="276" w:lineRule="auto"/>
        <w:rPr>
          <w:rFonts w:cs="Times New Roman"/>
        </w:rPr>
      </w:pPr>
      <w:r w:rsidRPr="067DE5E2">
        <w:rPr>
          <w:rFonts w:cs="Times New Roman"/>
        </w:rPr>
        <w:t>The</w:t>
      </w:r>
      <w:r w:rsidR="005706A8">
        <w:rPr>
          <w:rFonts w:cs="Times New Roman"/>
        </w:rPr>
        <w:t xml:space="preserve"> </w:t>
      </w:r>
      <w:r w:rsidR="00040151">
        <w:rPr>
          <w:rFonts w:cs="Times New Roman"/>
        </w:rPr>
        <w:t xml:space="preserve">Offeror </w:t>
      </w:r>
      <w:r w:rsidRPr="067DE5E2">
        <w:rPr>
          <w:rFonts w:cs="Times New Roman"/>
        </w:rPr>
        <w:t xml:space="preserve">shall provide all required labor, materials, permits, plans, engineering, tools, </w:t>
      </w:r>
      <w:r>
        <w:rPr>
          <w:rFonts w:cs="Times New Roman"/>
        </w:rPr>
        <w:t xml:space="preserve">and </w:t>
      </w:r>
      <w:r w:rsidRPr="067DE5E2">
        <w:rPr>
          <w:rFonts w:cs="Times New Roman"/>
        </w:rPr>
        <w:t xml:space="preserve">equipment to provide a 100% complete project. </w:t>
      </w:r>
    </w:p>
    <w:p w14:paraId="16AFCF88" w14:textId="77777777" w:rsidR="00A707B5" w:rsidRPr="00C628F9" w:rsidRDefault="00A707B5" w:rsidP="00A707B5">
      <w:pPr>
        <w:pStyle w:val="NoSpacing"/>
        <w:spacing w:line="276" w:lineRule="auto"/>
        <w:rPr>
          <w:rFonts w:cs="Times New Roman"/>
        </w:rPr>
      </w:pPr>
    </w:p>
    <w:p w14:paraId="71B94961" w14:textId="77777777" w:rsidR="00A707B5" w:rsidRDefault="00A707B5" w:rsidP="00A707B5">
      <w:pPr>
        <w:pStyle w:val="NoSpacing"/>
        <w:spacing w:line="276" w:lineRule="auto"/>
        <w:rPr>
          <w:rFonts w:cs="Times New Roman"/>
        </w:rPr>
      </w:pPr>
      <w:r w:rsidRPr="00C628F9">
        <w:rPr>
          <w:rFonts w:cs="Times New Roman"/>
        </w:rPr>
        <w:t xml:space="preserve">Perform all work in accordance with all applicable codes, local </w:t>
      </w:r>
      <w:r>
        <w:rPr>
          <w:rFonts w:cs="Times New Roman"/>
        </w:rPr>
        <w:t>ordinances, and requirements.</w:t>
      </w:r>
    </w:p>
    <w:p w14:paraId="6C40F82F" w14:textId="77777777" w:rsidR="00A707B5" w:rsidRPr="002C7AFA" w:rsidRDefault="00A707B5" w:rsidP="00A707B5">
      <w:pPr>
        <w:pStyle w:val="NoSpacing"/>
        <w:spacing w:line="276" w:lineRule="auto"/>
        <w:rPr>
          <w:rFonts w:cs="Times New Roman"/>
        </w:rPr>
      </w:pPr>
    </w:p>
    <w:p w14:paraId="137E1D49" w14:textId="77777777" w:rsidR="00A707B5" w:rsidRDefault="00A707B5" w:rsidP="00A707B5">
      <w:pPr>
        <w:pStyle w:val="NoSpacing"/>
        <w:spacing w:line="276" w:lineRule="auto"/>
        <w:rPr>
          <w:rFonts w:cs="Times New Roman"/>
        </w:rPr>
      </w:pPr>
      <w:r>
        <w:rPr>
          <w:rFonts w:cs="Times New Roman"/>
        </w:rPr>
        <w:t>Services shall include, but shall not be limited to, the following:</w:t>
      </w:r>
    </w:p>
    <w:p w14:paraId="683636E2" w14:textId="77777777" w:rsidR="00A707B5" w:rsidRPr="009D7828" w:rsidRDefault="00A707B5" w:rsidP="00A707B5">
      <w:pPr>
        <w:pStyle w:val="NoSpacing"/>
        <w:spacing w:line="276" w:lineRule="auto"/>
        <w:rPr>
          <w:rFonts w:cs="Times New Roman"/>
          <w:b/>
          <w:u w:val="single"/>
        </w:rPr>
      </w:pPr>
    </w:p>
    <w:p w14:paraId="02E4733E" w14:textId="3B88EDBE" w:rsidR="00A707B5" w:rsidRPr="00C628F9" w:rsidRDefault="00A707B5" w:rsidP="00F67380">
      <w:pPr>
        <w:pStyle w:val="NoSpacing"/>
        <w:numPr>
          <w:ilvl w:val="0"/>
          <w:numId w:val="4"/>
        </w:numPr>
        <w:spacing w:line="480" w:lineRule="auto"/>
        <w:rPr>
          <w:rFonts w:cs="Times New Roman"/>
        </w:rPr>
      </w:pPr>
      <w:r w:rsidRPr="00C628F9">
        <w:rPr>
          <w:rFonts w:cs="Times New Roman"/>
        </w:rPr>
        <w:t>Floor Refinishing</w:t>
      </w:r>
    </w:p>
    <w:p w14:paraId="1125BDA9" w14:textId="1573E3AA" w:rsidR="00A707B5" w:rsidRPr="00951ACF" w:rsidRDefault="00A707B5" w:rsidP="00F67380">
      <w:pPr>
        <w:pStyle w:val="NoSpacing"/>
        <w:numPr>
          <w:ilvl w:val="1"/>
          <w:numId w:val="4"/>
        </w:numPr>
        <w:spacing w:line="276" w:lineRule="auto"/>
        <w:ind w:left="720" w:hanging="360"/>
        <w:rPr>
          <w:rFonts w:cs="Times New Roman"/>
        </w:rPr>
      </w:pPr>
      <w:r w:rsidRPr="0090778A">
        <w:rPr>
          <w:rFonts w:cs="Times New Roman"/>
        </w:rPr>
        <w:t>All wall coverings, stationary seating/chairs, ceiling fixtures and any other items in the area that could possibly be damaged from dust will be c</w:t>
      </w:r>
      <w:r>
        <w:rPr>
          <w:rFonts w:cs="Times New Roman"/>
        </w:rPr>
        <w:t xml:space="preserve">overed with plastic and protected from work. </w:t>
      </w:r>
      <w:r w:rsidRPr="00951ACF">
        <w:rPr>
          <w:rFonts w:cs="Times New Roman"/>
        </w:rPr>
        <w:t xml:space="preserve">All doorways to areas not being sanded, must be covered with plastic to ensure that minimal dust will spread throughout the property. </w:t>
      </w:r>
    </w:p>
    <w:p w14:paraId="6FE9AF58" w14:textId="77777777" w:rsidR="00A707B5" w:rsidRDefault="00A707B5" w:rsidP="00F67380">
      <w:pPr>
        <w:pStyle w:val="NoSpacing"/>
        <w:numPr>
          <w:ilvl w:val="1"/>
          <w:numId w:val="4"/>
        </w:numPr>
        <w:spacing w:line="276" w:lineRule="auto"/>
        <w:ind w:left="720" w:hanging="360"/>
        <w:rPr>
          <w:rFonts w:cs="Times New Roman"/>
        </w:rPr>
      </w:pPr>
      <w:r>
        <w:rPr>
          <w:rFonts w:cs="Times New Roman"/>
        </w:rPr>
        <w:t xml:space="preserve">Sand floor using proper grit of sanding materials to achieve a clean smooth surface per manufactures recommendations. </w:t>
      </w:r>
    </w:p>
    <w:p w14:paraId="72F8C797" w14:textId="77777777" w:rsidR="00A707B5" w:rsidRDefault="00A707B5" w:rsidP="00F67380">
      <w:pPr>
        <w:pStyle w:val="NoSpacing"/>
        <w:numPr>
          <w:ilvl w:val="1"/>
          <w:numId w:val="4"/>
        </w:numPr>
        <w:spacing w:line="276" w:lineRule="auto"/>
        <w:ind w:left="720" w:hanging="360"/>
        <w:rPr>
          <w:rFonts w:cs="Times New Roman"/>
        </w:rPr>
      </w:pPr>
      <w:r>
        <w:rPr>
          <w:rFonts w:cs="Times New Roman"/>
        </w:rPr>
        <w:t xml:space="preserve">Clean and/or vacuum floor of all dust and dust particles prior to applying floor finish. </w:t>
      </w:r>
    </w:p>
    <w:p w14:paraId="4D0DD92D" w14:textId="5096C072" w:rsidR="00A707B5" w:rsidRDefault="00A707B5" w:rsidP="00F67380">
      <w:pPr>
        <w:pStyle w:val="NoSpacing"/>
        <w:numPr>
          <w:ilvl w:val="1"/>
          <w:numId w:val="4"/>
        </w:numPr>
        <w:spacing w:line="276" w:lineRule="auto"/>
        <w:ind w:left="720" w:hanging="360"/>
        <w:rPr>
          <w:rFonts w:cs="Times New Roman"/>
        </w:rPr>
      </w:pPr>
      <w:r>
        <w:rPr>
          <w:rFonts w:cs="Times New Roman"/>
        </w:rPr>
        <w:t>Apply no less than</w:t>
      </w:r>
      <w:r>
        <w:rPr>
          <w:rFonts w:cs="Times New Roman"/>
          <w:lang w:val="haw-US"/>
        </w:rPr>
        <w:t xml:space="preserve"> three</w:t>
      </w:r>
      <w:r>
        <w:rPr>
          <w:rFonts w:cs="Times New Roman"/>
        </w:rPr>
        <w:t xml:space="preserve"> </w:t>
      </w:r>
      <w:r>
        <w:rPr>
          <w:rFonts w:cs="Times New Roman"/>
          <w:lang w:val="haw-US"/>
        </w:rPr>
        <w:t>(</w:t>
      </w:r>
      <w:r>
        <w:rPr>
          <w:rFonts w:cs="Times New Roman"/>
        </w:rPr>
        <w:t>3</w:t>
      </w:r>
      <w:r>
        <w:rPr>
          <w:rFonts w:cs="Times New Roman"/>
          <w:lang w:val="haw-US"/>
        </w:rPr>
        <w:t>)</w:t>
      </w:r>
      <w:r w:rsidRPr="6AA108E9">
        <w:rPr>
          <w:rFonts w:cs="Times New Roman"/>
        </w:rPr>
        <w:t xml:space="preserve"> </w:t>
      </w:r>
      <w:r>
        <w:rPr>
          <w:rFonts w:cs="Times New Roman"/>
        </w:rPr>
        <w:t xml:space="preserve">applications of a water-based </w:t>
      </w:r>
      <w:r w:rsidRPr="004E746E">
        <w:rPr>
          <w:rFonts w:cs="Times New Roman"/>
        </w:rPr>
        <w:t>polyurethane finish</w:t>
      </w:r>
      <w:r w:rsidRPr="6AA108E9">
        <w:rPr>
          <w:rFonts w:cs="Times New Roman"/>
        </w:rPr>
        <w:t xml:space="preserve"> with proper applicator for each application. </w:t>
      </w:r>
    </w:p>
    <w:p w14:paraId="27516DCA" w14:textId="77777777" w:rsidR="00A707B5" w:rsidRDefault="00A707B5" w:rsidP="00F67380">
      <w:pPr>
        <w:pStyle w:val="NoSpacing"/>
        <w:numPr>
          <w:ilvl w:val="1"/>
          <w:numId w:val="4"/>
        </w:numPr>
        <w:spacing w:line="276" w:lineRule="auto"/>
        <w:ind w:left="720" w:hanging="360"/>
        <w:rPr>
          <w:rFonts w:cs="Times New Roman"/>
        </w:rPr>
      </w:pPr>
      <w:r>
        <w:rPr>
          <w:rFonts w:cs="Times New Roman"/>
        </w:rPr>
        <w:t xml:space="preserve">Each application of floor finish/sealer will have a drying time according to manufactures recommendation and will be inspected by an OHA employee. </w:t>
      </w:r>
    </w:p>
    <w:p w14:paraId="79ED9B12" w14:textId="77777777" w:rsidR="00A707B5" w:rsidRDefault="00A707B5" w:rsidP="00F67380">
      <w:pPr>
        <w:pStyle w:val="NoSpacing"/>
        <w:numPr>
          <w:ilvl w:val="1"/>
          <w:numId w:val="4"/>
        </w:numPr>
        <w:spacing w:line="276" w:lineRule="auto"/>
        <w:ind w:left="720" w:hanging="360"/>
        <w:rPr>
          <w:rFonts w:cs="Times New Roman"/>
        </w:rPr>
      </w:pPr>
      <w:r>
        <w:rPr>
          <w:rFonts w:cs="Times New Roman"/>
        </w:rPr>
        <w:t xml:space="preserve">All trash, excess materials, etc., shall be cleaned up, removed from the site, and disposed of properly and legally. </w:t>
      </w:r>
    </w:p>
    <w:p w14:paraId="2B6306B0" w14:textId="77777777" w:rsidR="00A707B5" w:rsidRDefault="00A707B5" w:rsidP="00A707B5">
      <w:pPr>
        <w:pStyle w:val="NoSpacing"/>
        <w:spacing w:line="276" w:lineRule="auto"/>
        <w:rPr>
          <w:rFonts w:cs="Times New Roman"/>
        </w:rPr>
      </w:pPr>
    </w:p>
    <w:p w14:paraId="11045F3D" w14:textId="04E5DCA7" w:rsidR="00A707B5" w:rsidRDefault="00A707B5" w:rsidP="00F67380">
      <w:pPr>
        <w:pStyle w:val="NoSpacing"/>
        <w:numPr>
          <w:ilvl w:val="0"/>
          <w:numId w:val="4"/>
        </w:numPr>
        <w:spacing w:line="276" w:lineRule="auto"/>
        <w:rPr>
          <w:rFonts w:cs="Times New Roman"/>
        </w:rPr>
      </w:pPr>
      <w:r>
        <w:rPr>
          <w:rFonts w:cs="Times New Roman"/>
        </w:rPr>
        <w:t>Replacement of Damaged Flooring</w:t>
      </w:r>
    </w:p>
    <w:p w14:paraId="6FC65DB5" w14:textId="77777777" w:rsidR="00A707B5" w:rsidRDefault="00A707B5" w:rsidP="00A707B5">
      <w:pPr>
        <w:pStyle w:val="NoSpacing"/>
        <w:spacing w:line="276" w:lineRule="auto"/>
        <w:rPr>
          <w:rFonts w:cs="Times New Roman"/>
        </w:rPr>
      </w:pPr>
    </w:p>
    <w:p w14:paraId="0B7706FC" w14:textId="4F90D6D1" w:rsidR="002F428B" w:rsidRPr="00C628F9" w:rsidRDefault="00A707B5" w:rsidP="00A205F7">
      <w:pPr>
        <w:pStyle w:val="NoSpacing"/>
        <w:spacing w:line="276" w:lineRule="auto"/>
        <w:ind w:left="360"/>
        <w:rPr>
          <w:rFonts w:cs="Times New Roman"/>
        </w:rPr>
      </w:pPr>
      <w:r>
        <w:rPr>
          <w:rFonts w:cs="Times New Roman"/>
        </w:rPr>
        <w:t xml:space="preserve">Investigate water damaged floors near the front and back door (See yellow sections in Exhibit A and Figures 1 &amp; 2 in Exhibit B). Damaged planks shall be replaced with </w:t>
      </w:r>
      <w:r w:rsidRPr="067DE5E2">
        <w:rPr>
          <w:rFonts w:cs="Times New Roman"/>
        </w:rPr>
        <w:t>matching (or as close of a material as possible</w:t>
      </w:r>
      <w:r>
        <w:rPr>
          <w:rFonts w:cs="Times New Roman"/>
        </w:rPr>
        <w:t>, such as white oak wood</w:t>
      </w:r>
      <w:r w:rsidRPr="067DE5E2">
        <w:rPr>
          <w:rFonts w:cs="Times New Roman"/>
        </w:rPr>
        <w:t>) hard wood floor planks</w:t>
      </w:r>
      <w:r>
        <w:rPr>
          <w:rFonts w:cs="Times New Roman"/>
        </w:rPr>
        <w:t xml:space="preserve">, stained to match the original floor material per manufactures recommendations. </w:t>
      </w:r>
    </w:p>
    <w:p w14:paraId="5B7110F7" w14:textId="691EDF4F" w:rsidR="00A707B5" w:rsidRDefault="00A707B5" w:rsidP="00F67380">
      <w:pPr>
        <w:pStyle w:val="NoSpacing"/>
        <w:numPr>
          <w:ilvl w:val="0"/>
          <w:numId w:val="4"/>
        </w:numPr>
        <w:spacing w:line="276" w:lineRule="auto"/>
        <w:rPr>
          <w:rFonts w:cs="Times New Roman"/>
        </w:rPr>
      </w:pPr>
      <w:r w:rsidRPr="067DE5E2">
        <w:rPr>
          <w:rFonts w:cs="Times New Roman"/>
        </w:rPr>
        <w:lastRenderedPageBreak/>
        <w:t>Replace</w:t>
      </w:r>
      <w:r>
        <w:rPr>
          <w:rFonts w:cs="Times New Roman"/>
        </w:rPr>
        <w:t>ment of</w:t>
      </w:r>
      <w:r w:rsidRPr="067DE5E2">
        <w:rPr>
          <w:rFonts w:cs="Times New Roman"/>
        </w:rPr>
        <w:t xml:space="preserve"> Floor Thresholds </w:t>
      </w:r>
    </w:p>
    <w:p w14:paraId="6069B9FB" w14:textId="77777777" w:rsidR="00F67380" w:rsidRPr="00C628F9" w:rsidRDefault="00F67380" w:rsidP="00F67380">
      <w:pPr>
        <w:pStyle w:val="NoSpacing"/>
        <w:spacing w:line="276" w:lineRule="auto"/>
        <w:ind w:left="360"/>
        <w:rPr>
          <w:rFonts w:cs="Times New Roman"/>
        </w:rPr>
      </w:pPr>
    </w:p>
    <w:p w14:paraId="1BA4CACC" w14:textId="77777777" w:rsidR="00A707B5" w:rsidRDefault="00A707B5" w:rsidP="00F67380">
      <w:pPr>
        <w:pStyle w:val="NoSpacing"/>
        <w:numPr>
          <w:ilvl w:val="1"/>
          <w:numId w:val="4"/>
        </w:numPr>
        <w:spacing w:line="276" w:lineRule="auto"/>
        <w:ind w:left="720" w:hanging="360"/>
        <w:rPr>
          <w:rFonts w:cs="Times New Roman"/>
        </w:rPr>
      </w:pPr>
      <w:r>
        <w:rPr>
          <w:rFonts w:cs="Times New Roman"/>
        </w:rPr>
        <w:t>All</w:t>
      </w:r>
      <w:r w:rsidRPr="00AF47FB">
        <w:rPr>
          <w:rFonts w:cs="Times New Roman"/>
        </w:rPr>
        <w:t xml:space="preserve"> thresholds</w:t>
      </w:r>
      <w:r w:rsidRPr="067DE5E2">
        <w:rPr>
          <w:rFonts w:cs="Times New Roman"/>
        </w:rPr>
        <w:t xml:space="preserve"> </w:t>
      </w:r>
      <w:r>
        <w:rPr>
          <w:rFonts w:cs="Times New Roman"/>
        </w:rPr>
        <w:t xml:space="preserve">(See blue areas in Exhibit A) </w:t>
      </w:r>
      <w:r w:rsidRPr="067DE5E2">
        <w:rPr>
          <w:rFonts w:cs="Times New Roman"/>
        </w:rPr>
        <w:t>within project area will be removed</w:t>
      </w:r>
      <w:r>
        <w:rPr>
          <w:rFonts w:cs="Times New Roman"/>
        </w:rPr>
        <w:t>.</w:t>
      </w:r>
    </w:p>
    <w:p w14:paraId="1C04A4BE" w14:textId="77777777" w:rsidR="00A707B5" w:rsidRPr="009139E5" w:rsidRDefault="00A707B5" w:rsidP="00F67380">
      <w:pPr>
        <w:pStyle w:val="NoSpacing"/>
        <w:numPr>
          <w:ilvl w:val="1"/>
          <w:numId w:val="4"/>
        </w:numPr>
        <w:spacing w:line="276" w:lineRule="auto"/>
        <w:ind w:left="720" w:hanging="360"/>
        <w:rPr>
          <w:rFonts w:cs="Times New Roman"/>
        </w:rPr>
      </w:pPr>
      <w:r>
        <w:rPr>
          <w:rFonts w:cs="Times New Roman"/>
        </w:rPr>
        <w:t xml:space="preserve"> The four (4) interior thresholds will be replaced </w:t>
      </w:r>
      <w:r w:rsidRPr="067DE5E2">
        <w:rPr>
          <w:rFonts w:cs="Times New Roman"/>
        </w:rPr>
        <w:t>with a white oak threshold</w:t>
      </w:r>
      <w:r>
        <w:rPr>
          <w:rFonts w:cs="Times New Roman"/>
        </w:rPr>
        <w:t>, stained to match floor</w:t>
      </w:r>
      <w:r w:rsidRPr="067DE5E2">
        <w:rPr>
          <w:rFonts w:cs="Times New Roman"/>
        </w:rPr>
        <w:t xml:space="preserve">. </w:t>
      </w:r>
      <w:r w:rsidRPr="009139E5">
        <w:rPr>
          <w:rFonts w:cs="Times New Roman"/>
        </w:rPr>
        <w:t xml:space="preserve">The white oak threshold will be installed using finish nails of an appropriate length. Ensure finish nails are set below the surface of the threshold using a nail set, and the holes are filled with a wood filler that matches the material. </w:t>
      </w:r>
      <w:r>
        <w:rPr>
          <w:rFonts w:cs="Times New Roman"/>
        </w:rPr>
        <w:t xml:space="preserve">Apply no less than 2 applications of sealers to wooden thresholds. </w:t>
      </w:r>
    </w:p>
    <w:p w14:paraId="7930BC13" w14:textId="77777777" w:rsidR="00A707B5" w:rsidRDefault="00A707B5" w:rsidP="00F67380">
      <w:pPr>
        <w:pStyle w:val="NoSpacing"/>
        <w:numPr>
          <w:ilvl w:val="1"/>
          <w:numId w:val="4"/>
        </w:numPr>
        <w:spacing w:line="276" w:lineRule="auto"/>
        <w:ind w:left="720" w:hanging="360"/>
        <w:rPr>
          <w:rFonts w:cs="Times New Roman"/>
        </w:rPr>
      </w:pPr>
      <w:r>
        <w:rPr>
          <w:rFonts w:cs="Times New Roman"/>
        </w:rPr>
        <w:t xml:space="preserve">The two (2) exterior thresholds for the front and back door shall be replaced with an aluminum saddle type threshold and a door sweep to the bottom of the door. </w:t>
      </w:r>
    </w:p>
    <w:p w14:paraId="5DAC27CD" w14:textId="77777777" w:rsidR="00A707B5" w:rsidRDefault="00A707B5" w:rsidP="00F67380">
      <w:pPr>
        <w:pStyle w:val="NoSpacing"/>
        <w:numPr>
          <w:ilvl w:val="1"/>
          <w:numId w:val="4"/>
        </w:numPr>
        <w:spacing w:line="276" w:lineRule="auto"/>
        <w:ind w:left="720" w:hanging="360"/>
        <w:rPr>
          <w:rFonts w:cs="Times New Roman"/>
        </w:rPr>
      </w:pPr>
      <w:r w:rsidRPr="6AA108E9">
        <w:rPr>
          <w:rFonts w:cs="Times New Roman"/>
        </w:rPr>
        <w:t xml:space="preserve">Caulk the gap between the floor and threshold, as needed. </w:t>
      </w:r>
    </w:p>
    <w:p w14:paraId="307FC9E7" w14:textId="77777777" w:rsidR="00A707B5" w:rsidRPr="00E234A9" w:rsidRDefault="00A707B5" w:rsidP="00A707B5">
      <w:pPr>
        <w:pStyle w:val="NoSpacing"/>
        <w:spacing w:line="276" w:lineRule="auto"/>
        <w:rPr>
          <w:rFonts w:cs="Times New Roman"/>
        </w:rPr>
      </w:pPr>
    </w:p>
    <w:p w14:paraId="31716202" w14:textId="3E24C219" w:rsidR="00A707B5" w:rsidRDefault="00A707B5" w:rsidP="00F67380">
      <w:pPr>
        <w:pStyle w:val="NoSpacing"/>
        <w:numPr>
          <w:ilvl w:val="0"/>
          <w:numId w:val="4"/>
        </w:numPr>
        <w:spacing w:line="480" w:lineRule="auto"/>
        <w:rPr>
          <w:rFonts w:cs="Times New Roman"/>
        </w:rPr>
      </w:pPr>
      <w:r w:rsidRPr="067DE5E2">
        <w:rPr>
          <w:rFonts w:cs="Times New Roman"/>
        </w:rPr>
        <w:t xml:space="preserve">Replacement of </w:t>
      </w:r>
      <w:r>
        <w:rPr>
          <w:rFonts w:cs="Times New Roman"/>
        </w:rPr>
        <w:t>Shoe</w:t>
      </w:r>
      <w:r w:rsidRPr="067DE5E2">
        <w:rPr>
          <w:rFonts w:cs="Times New Roman"/>
        </w:rPr>
        <w:t xml:space="preserve"> Molding </w:t>
      </w:r>
    </w:p>
    <w:p w14:paraId="65C9BE51" w14:textId="77777777" w:rsidR="00A707B5" w:rsidRDefault="00A707B5" w:rsidP="00F67380">
      <w:pPr>
        <w:pStyle w:val="NoSpacing"/>
        <w:numPr>
          <w:ilvl w:val="1"/>
          <w:numId w:val="4"/>
        </w:numPr>
        <w:spacing w:line="276" w:lineRule="auto"/>
        <w:ind w:left="720" w:hanging="360"/>
        <w:rPr>
          <w:rFonts w:cs="Times New Roman"/>
        </w:rPr>
      </w:pPr>
      <w:r w:rsidRPr="00367D8A">
        <w:rPr>
          <w:rFonts w:cs="Times New Roman"/>
        </w:rPr>
        <w:t>Remove the existing shoe molding (See</w:t>
      </w:r>
      <w:r>
        <w:rPr>
          <w:rFonts w:cs="Times New Roman"/>
        </w:rPr>
        <w:t xml:space="preserve"> pink areas in Exhibit A) </w:t>
      </w:r>
      <w:r w:rsidRPr="067DE5E2">
        <w:rPr>
          <w:rFonts w:cs="Times New Roman"/>
        </w:rPr>
        <w:t>around the</w:t>
      </w:r>
      <w:r>
        <w:rPr>
          <w:rFonts w:cs="Times New Roman"/>
        </w:rPr>
        <w:t xml:space="preserve"> perimeter of the</w:t>
      </w:r>
      <w:r w:rsidRPr="067DE5E2">
        <w:rPr>
          <w:rFonts w:cs="Times New Roman"/>
        </w:rPr>
        <w:t xml:space="preserve"> pr</w:t>
      </w:r>
      <w:r>
        <w:rPr>
          <w:rFonts w:cs="Times New Roman"/>
        </w:rPr>
        <w:t xml:space="preserve">oject area. Replace the shoe molding </w:t>
      </w:r>
      <w:r w:rsidRPr="00C72031">
        <w:rPr>
          <w:rFonts w:cs="Times New Roman"/>
        </w:rPr>
        <w:t>with ½ inch</w:t>
      </w:r>
      <w:r>
        <w:rPr>
          <w:rFonts w:cs="Times New Roman"/>
        </w:rPr>
        <w:t xml:space="preserve"> wooden shoe molding. The wooden shoe molding shall be painted white to match baseboards.</w:t>
      </w:r>
    </w:p>
    <w:p w14:paraId="0797103B" w14:textId="618DEBD8" w:rsidR="00A707B5" w:rsidRDefault="00A707B5" w:rsidP="00F67380">
      <w:pPr>
        <w:pStyle w:val="NoSpacing"/>
        <w:numPr>
          <w:ilvl w:val="1"/>
          <w:numId w:val="4"/>
        </w:numPr>
        <w:spacing w:line="276" w:lineRule="auto"/>
        <w:ind w:left="720" w:hanging="360"/>
        <w:rPr>
          <w:rFonts w:cs="Times New Roman"/>
        </w:rPr>
      </w:pPr>
      <w:r w:rsidRPr="067DE5E2">
        <w:rPr>
          <w:rFonts w:cs="Times New Roman"/>
        </w:rPr>
        <w:t>Ensure that all nail holes and seams are covered with a latex caulk</w:t>
      </w:r>
      <w:r>
        <w:rPr>
          <w:rFonts w:cs="Times New Roman"/>
        </w:rPr>
        <w:t>.</w:t>
      </w:r>
      <w:r w:rsidRPr="067DE5E2">
        <w:rPr>
          <w:rFonts w:cs="Times New Roman"/>
        </w:rPr>
        <w:t xml:space="preserve"> </w:t>
      </w:r>
    </w:p>
    <w:p w14:paraId="1C9DA193" w14:textId="77777777" w:rsidR="00593F3A" w:rsidRDefault="00593F3A" w:rsidP="00593F3A">
      <w:pPr>
        <w:pStyle w:val="NoSpacing"/>
        <w:spacing w:line="276" w:lineRule="auto"/>
        <w:ind w:left="720"/>
        <w:rPr>
          <w:rFonts w:cs="Times New Roman"/>
        </w:rPr>
      </w:pPr>
    </w:p>
    <w:p w14:paraId="7DDFA907" w14:textId="289CB2D7" w:rsidR="00593F3A" w:rsidRPr="00593F3A" w:rsidRDefault="00593F3A" w:rsidP="00F67380">
      <w:pPr>
        <w:pStyle w:val="NoSpacing"/>
        <w:numPr>
          <w:ilvl w:val="0"/>
          <w:numId w:val="4"/>
        </w:numPr>
        <w:spacing w:line="480" w:lineRule="auto"/>
        <w:rPr>
          <w:rFonts w:cs="Times New Roman"/>
          <w:bCs/>
        </w:rPr>
      </w:pPr>
      <w:r w:rsidRPr="00593F3A">
        <w:rPr>
          <w:rFonts w:eastAsia="Times New Roman" w:cs="Times New Roman"/>
          <w:bCs/>
          <w:szCs w:val="24"/>
        </w:rPr>
        <w:t>Right-of-Entry</w:t>
      </w:r>
    </w:p>
    <w:p w14:paraId="0864750C" w14:textId="7D1C39A2" w:rsidR="00593F3A" w:rsidRPr="00F67380" w:rsidRDefault="00593F3A" w:rsidP="00F67380">
      <w:pPr>
        <w:pStyle w:val="NoSpacing"/>
        <w:numPr>
          <w:ilvl w:val="1"/>
          <w:numId w:val="4"/>
        </w:numPr>
        <w:spacing w:line="276" w:lineRule="auto"/>
        <w:ind w:left="720" w:hanging="360"/>
        <w:rPr>
          <w:rFonts w:cs="Times New Roman"/>
        </w:rPr>
      </w:pPr>
      <w:r w:rsidRPr="00F67380">
        <w:rPr>
          <w:rFonts w:cs="Times New Roman"/>
        </w:rPr>
        <w:t xml:space="preserve">For each day the </w:t>
      </w:r>
      <w:r w:rsidR="00B731CB">
        <w:rPr>
          <w:rFonts w:cs="Times New Roman"/>
        </w:rPr>
        <w:t>Offeror</w:t>
      </w:r>
      <w:r w:rsidRPr="00F67380">
        <w:rPr>
          <w:rFonts w:cs="Times New Roman"/>
        </w:rPr>
        <w:t xml:space="preserve"> seeks to access the Property, the </w:t>
      </w:r>
      <w:r w:rsidR="00B731CB">
        <w:rPr>
          <w:rFonts w:cs="Times New Roman"/>
        </w:rPr>
        <w:t>Offeror</w:t>
      </w:r>
      <w:r w:rsidRPr="00F67380">
        <w:rPr>
          <w:rFonts w:cs="Times New Roman"/>
        </w:rPr>
        <w:t xml:space="preserve"> shall provide OHA with a “Daily Plan,” which shall include information that identifies the duration of the visit, the staff and equipment to be used, and description of work to be conducted on site.</w:t>
      </w:r>
    </w:p>
    <w:p w14:paraId="10EAF872" w14:textId="16AC8A7E" w:rsidR="00593F3A" w:rsidRPr="00F67380" w:rsidRDefault="00593F3A" w:rsidP="00F67380">
      <w:pPr>
        <w:pStyle w:val="NoSpacing"/>
        <w:numPr>
          <w:ilvl w:val="2"/>
          <w:numId w:val="4"/>
        </w:numPr>
        <w:spacing w:line="276" w:lineRule="auto"/>
        <w:rPr>
          <w:rFonts w:cs="Times New Roman"/>
        </w:rPr>
      </w:pPr>
      <w:r w:rsidRPr="00F67380">
        <w:rPr>
          <w:rFonts w:cs="Times New Roman"/>
        </w:rPr>
        <w:t xml:space="preserve">The </w:t>
      </w:r>
      <w:r w:rsidR="00B731CB">
        <w:rPr>
          <w:rFonts w:cs="Times New Roman"/>
        </w:rPr>
        <w:t>Offeror</w:t>
      </w:r>
      <w:r w:rsidRPr="00F67380">
        <w:rPr>
          <w:rFonts w:cs="Times New Roman"/>
        </w:rPr>
        <w:t xml:space="preserve"> shall submit its Daily Plan at least 10 business days prior to the requested access date.  </w:t>
      </w:r>
    </w:p>
    <w:p w14:paraId="2149F1E7" w14:textId="3A53C29A" w:rsidR="00593F3A" w:rsidRPr="00F67380" w:rsidRDefault="00593F3A" w:rsidP="00F67380">
      <w:pPr>
        <w:pStyle w:val="NoSpacing"/>
        <w:numPr>
          <w:ilvl w:val="2"/>
          <w:numId w:val="4"/>
        </w:numPr>
        <w:spacing w:line="276" w:lineRule="auto"/>
        <w:rPr>
          <w:rFonts w:cs="Times New Roman"/>
        </w:rPr>
      </w:pPr>
      <w:r w:rsidRPr="00F67380">
        <w:rPr>
          <w:rFonts w:cs="Times New Roman"/>
        </w:rPr>
        <w:t xml:space="preserve">The </w:t>
      </w:r>
      <w:r w:rsidR="00B731CB">
        <w:rPr>
          <w:rFonts w:cs="Times New Roman"/>
        </w:rPr>
        <w:t>Offeror</w:t>
      </w:r>
      <w:r w:rsidRPr="00F67380">
        <w:rPr>
          <w:rFonts w:cs="Times New Roman"/>
        </w:rPr>
        <w:t xml:space="preserve">’s access shall be subject to OHA’s written approval of the </w:t>
      </w:r>
      <w:r w:rsidR="00B731CB">
        <w:rPr>
          <w:rFonts w:cs="Times New Roman"/>
        </w:rPr>
        <w:t>Offeror</w:t>
      </w:r>
      <w:r w:rsidRPr="00F67380">
        <w:rPr>
          <w:rFonts w:cs="Times New Roman"/>
        </w:rPr>
        <w:t>’s Daily Plan(s) and shall be subject to other conditions that OHA may require.</w:t>
      </w:r>
    </w:p>
    <w:p w14:paraId="2CD1DF25" w14:textId="2A949084" w:rsidR="00593F3A" w:rsidRPr="00F67380" w:rsidRDefault="00593F3A" w:rsidP="00F67380">
      <w:pPr>
        <w:pStyle w:val="NoSpacing"/>
        <w:numPr>
          <w:ilvl w:val="1"/>
          <w:numId w:val="4"/>
        </w:numPr>
        <w:spacing w:line="276" w:lineRule="auto"/>
        <w:ind w:left="720" w:hanging="360"/>
        <w:rPr>
          <w:rFonts w:cs="Times New Roman"/>
        </w:rPr>
      </w:pPr>
      <w:r w:rsidRPr="00F67380">
        <w:rPr>
          <w:rFonts w:cs="Times New Roman"/>
        </w:rPr>
        <w:t xml:space="preserve">Prior to each access, the </w:t>
      </w:r>
      <w:r w:rsidR="00B731CB">
        <w:rPr>
          <w:rFonts w:cs="Times New Roman"/>
        </w:rPr>
        <w:t>Offeror</w:t>
      </w:r>
      <w:r w:rsidRPr="00F67380">
        <w:rPr>
          <w:rFonts w:cs="Times New Roman"/>
        </w:rPr>
        <w:t xml:space="preserve"> shall coordinate with OHA and arrange to access the site together with an OHA staff member, unless otherwise directed by OHA.  </w:t>
      </w:r>
    </w:p>
    <w:p w14:paraId="0A6A5913" w14:textId="56C1D9E1" w:rsidR="00593F3A" w:rsidRPr="00F67380" w:rsidRDefault="00593F3A" w:rsidP="00F67380">
      <w:pPr>
        <w:pStyle w:val="NoSpacing"/>
        <w:numPr>
          <w:ilvl w:val="1"/>
          <w:numId w:val="4"/>
        </w:numPr>
        <w:spacing w:line="276" w:lineRule="auto"/>
        <w:ind w:left="720" w:hanging="360"/>
        <w:rPr>
          <w:rFonts w:cs="Times New Roman"/>
        </w:rPr>
      </w:pPr>
      <w:r w:rsidRPr="00F67380">
        <w:rPr>
          <w:rFonts w:cs="Times New Roman"/>
        </w:rPr>
        <w:t xml:space="preserve">The </w:t>
      </w:r>
      <w:r w:rsidR="00B731CB">
        <w:rPr>
          <w:rFonts w:cs="Times New Roman"/>
        </w:rPr>
        <w:t>Offeror</w:t>
      </w:r>
      <w:r w:rsidRPr="00F67380">
        <w:rPr>
          <w:rFonts w:cs="Times New Roman"/>
        </w:rPr>
        <w:t xml:space="preserve"> shall allow only persons acting on its behalf, and its members, employees, officers, directors, representatives, agents, consultants, or contractors necessary for the Project to enter the Property.  </w:t>
      </w:r>
    </w:p>
    <w:p w14:paraId="6AF0C43D" w14:textId="2C3F1BEF" w:rsidR="005F1047" w:rsidRDefault="005F1047" w:rsidP="00C9512E">
      <w:pPr>
        <w:pStyle w:val="NoSpacing"/>
      </w:pPr>
    </w:p>
    <w:p w14:paraId="2048D299" w14:textId="03448B9E" w:rsidR="00DF487C" w:rsidRPr="00CA57E1" w:rsidRDefault="002A7369" w:rsidP="00DF487C">
      <w:pPr>
        <w:pStyle w:val="NoSpacing"/>
        <w:rPr>
          <w:b/>
          <w:u w:val="single"/>
        </w:rPr>
      </w:pPr>
      <w:r w:rsidRPr="00CA57E1">
        <w:rPr>
          <w:b/>
          <w:u w:val="single"/>
        </w:rPr>
        <w:t>Other Requirements</w:t>
      </w:r>
    </w:p>
    <w:p w14:paraId="77ACD468" w14:textId="3C5D99D6" w:rsidR="00CA57E1" w:rsidRDefault="00CA57E1" w:rsidP="00DF487C">
      <w:pPr>
        <w:pStyle w:val="NoSpacing"/>
        <w:rPr>
          <w:b/>
          <w:u w:val="single"/>
        </w:rPr>
      </w:pPr>
    </w:p>
    <w:p w14:paraId="436E4354" w14:textId="032AF10B" w:rsidR="008D7AC8" w:rsidRPr="008D7AC8" w:rsidRDefault="008D7AC8" w:rsidP="00F67380">
      <w:pPr>
        <w:pStyle w:val="NoSpacing"/>
        <w:numPr>
          <w:ilvl w:val="0"/>
          <w:numId w:val="5"/>
        </w:numPr>
        <w:rPr>
          <w:rFonts w:eastAsia="Times New Roman" w:cs="Times New Roman"/>
          <w:szCs w:val="24"/>
        </w:rPr>
      </w:pPr>
      <w:r w:rsidRPr="008D7AC8">
        <w:rPr>
          <w:rFonts w:eastAsia="Times New Roman" w:cs="Times New Roman"/>
          <w:szCs w:val="24"/>
        </w:rPr>
        <w:t xml:space="preserve">The </w:t>
      </w:r>
      <w:r w:rsidR="001A079E">
        <w:rPr>
          <w:rFonts w:cs="Times New Roman"/>
        </w:rPr>
        <w:t>Offeror</w:t>
      </w:r>
      <w:r w:rsidRPr="008D7AC8">
        <w:rPr>
          <w:rFonts w:eastAsia="Times New Roman" w:cs="Times New Roman"/>
          <w:szCs w:val="24"/>
        </w:rPr>
        <w:t xml:space="preserve"> shall procure all goods, services, materials, and permits required to provide the land surveyor services on the property.</w:t>
      </w:r>
    </w:p>
    <w:p w14:paraId="7819B49F" w14:textId="10B97B6D" w:rsidR="008D7AC8" w:rsidRPr="008D7AC8" w:rsidRDefault="008D7AC8" w:rsidP="00F67380">
      <w:pPr>
        <w:pStyle w:val="NoSpacing"/>
        <w:numPr>
          <w:ilvl w:val="0"/>
          <w:numId w:val="5"/>
        </w:numPr>
        <w:rPr>
          <w:rFonts w:eastAsia="Times New Roman" w:cs="Times New Roman"/>
          <w:szCs w:val="24"/>
        </w:rPr>
      </w:pPr>
      <w:r w:rsidRPr="008D7AC8">
        <w:rPr>
          <w:rFonts w:eastAsia="Times New Roman" w:cs="Times New Roman"/>
          <w:szCs w:val="24"/>
        </w:rPr>
        <w:t xml:space="preserve">The </w:t>
      </w:r>
      <w:r w:rsidR="001A079E">
        <w:rPr>
          <w:rFonts w:cs="Times New Roman"/>
        </w:rPr>
        <w:t>Offeror</w:t>
      </w:r>
      <w:r w:rsidRPr="008D7AC8">
        <w:rPr>
          <w:rFonts w:eastAsia="Times New Roman" w:cs="Times New Roman"/>
          <w:szCs w:val="24"/>
        </w:rPr>
        <w:t xml:space="preserve"> shall be solely liable for damage of any kind while on the Property.</w:t>
      </w:r>
    </w:p>
    <w:p w14:paraId="0D332011" w14:textId="1CDDC5FF" w:rsidR="008D7AC8" w:rsidRPr="008D7AC8" w:rsidRDefault="008D7AC8" w:rsidP="00F67380">
      <w:pPr>
        <w:pStyle w:val="NoSpacing"/>
        <w:numPr>
          <w:ilvl w:val="0"/>
          <w:numId w:val="5"/>
        </w:numPr>
        <w:rPr>
          <w:rFonts w:eastAsia="Times New Roman" w:cs="Times New Roman"/>
          <w:szCs w:val="24"/>
        </w:rPr>
      </w:pPr>
      <w:r w:rsidRPr="008D7AC8">
        <w:rPr>
          <w:rFonts w:eastAsia="Times New Roman" w:cs="Times New Roman"/>
          <w:szCs w:val="24"/>
        </w:rPr>
        <w:t xml:space="preserve">The </w:t>
      </w:r>
      <w:r w:rsidR="001A079E">
        <w:rPr>
          <w:rFonts w:cs="Times New Roman"/>
        </w:rPr>
        <w:t>Offeror</w:t>
      </w:r>
      <w:r w:rsidRPr="008D7AC8">
        <w:rPr>
          <w:rFonts w:eastAsia="Times New Roman" w:cs="Times New Roman"/>
          <w:szCs w:val="24"/>
        </w:rPr>
        <w:t xml:space="preserve"> shall immediately advise OHA of any problems that arise while executing this scope of work.</w:t>
      </w:r>
    </w:p>
    <w:p w14:paraId="7D61D9A7" w14:textId="6C49E8C8" w:rsidR="008D7AC8" w:rsidRPr="008D7AC8" w:rsidRDefault="008D7AC8" w:rsidP="00F67380">
      <w:pPr>
        <w:pStyle w:val="NoSpacing"/>
        <w:numPr>
          <w:ilvl w:val="0"/>
          <w:numId w:val="5"/>
        </w:numPr>
        <w:rPr>
          <w:rFonts w:eastAsia="Times New Roman" w:cs="Times New Roman"/>
          <w:szCs w:val="24"/>
        </w:rPr>
      </w:pPr>
      <w:r w:rsidRPr="008D7AC8">
        <w:rPr>
          <w:rFonts w:eastAsia="Times New Roman" w:cs="Times New Roman"/>
          <w:szCs w:val="24"/>
        </w:rPr>
        <w:t xml:space="preserve">The </w:t>
      </w:r>
      <w:r w:rsidR="001A079E">
        <w:rPr>
          <w:rFonts w:cs="Times New Roman"/>
        </w:rPr>
        <w:t>Offeror</w:t>
      </w:r>
      <w:r w:rsidRPr="008D7AC8">
        <w:rPr>
          <w:rFonts w:eastAsia="Times New Roman" w:cs="Times New Roman"/>
          <w:szCs w:val="24"/>
        </w:rPr>
        <w:t xml:space="preserve"> shall comply with Occupational Safety &amp; Health Act of 1970 standards.</w:t>
      </w:r>
    </w:p>
    <w:p w14:paraId="2DE7E5B0" w14:textId="05262C00" w:rsidR="008D7AC8" w:rsidRPr="008D7AC8" w:rsidRDefault="008D7AC8" w:rsidP="00F67380">
      <w:pPr>
        <w:pStyle w:val="NoSpacing"/>
        <w:numPr>
          <w:ilvl w:val="0"/>
          <w:numId w:val="5"/>
        </w:numPr>
        <w:rPr>
          <w:rFonts w:eastAsia="Times New Roman" w:cs="Times New Roman"/>
          <w:szCs w:val="24"/>
        </w:rPr>
      </w:pPr>
      <w:r w:rsidRPr="008D7AC8">
        <w:rPr>
          <w:rFonts w:eastAsia="Times New Roman" w:cs="Times New Roman"/>
          <w:szCs w:val="24"/>
        </w:rPr>
        <w:lastRenderedPageBreak/>
        <w:t xml:space="preserve">The </w:t>
      </w:r>
      <w:r w:rsidR="001A079E">
        <w:rPr>
          <w:rFonts w:cs="Times New Roman"/>
        </w:rPr>
        <w:t>Offeror</w:t>
      </w:r>
      <w:r w:rsidRPr="008D7AC8">
        <w:rPr>
          <w:rFonts w:eastAsia="Times New Roman" w:cs="Times New Roman"/>
          <w:szCs w:val="24"/>
        </w:rPr>
        <w:t xml:space="preserve"> shall be available to collaborate with any third-party also conducting work on the property (e.g. security, police, etc.), as deemed necessary and appropriate by OHA.  </w:t>
      </w:r>
    </w:p>
    <w:p w14:paraId="58E0EEBE" w14:textId="77777777" w:rsidR="006425C9" w:rsidRDefault="006425C9" w:rsidP="00C9512E">
      <w:pPr>
        <w:pStyle w:val="NoSpacing"/>
        <w:rPr>
          <w:b/>
          <w:u w:val="single"/>
        </w:rPr>
      </w:pPr>
    </w:p>
    <w:p w14:paraId="1223AD56" w14:textId="610D70F1" w:rsidR="006425C9" w:rsidRDefault="00BF2B7C" w:rsidP="00C9512E">
      <w:pPr>
        <w:pStyle w:val="NoSpacing"/>
      </w:pPr>
      <w:r w:rsidRPr="006425C9">
        <w:rPr>
          <w:b/>
          <w:u w:val="single"/>
        </w:rPr>
        <w:t>General Contract Compliance for Successful Offeror</w:t>
      </w:r>
      <w:r>
        <w:t xml:space="preserve"> </w:t>
      </w:r>
    </w:p>
    <w:p w14:paraId="5BB2C309" w14:textId="77777777" w:rsidR="006425C9" w:rsidRDefault="006425C9" w:rsidP="00C9512E">
      <w:pPr>
        <w:pStyle w:val="NoSpacing"/>
      </w:pPr>
    </w:p>
    <w:p w14:paraId="7AB937BD" w14:textId="7DF5AD31" w:rsidR="006425C9" w:rsidRDefault="00BF2B7C" w:rsidP="002A7369">
      <w:pPr>
        <w:pStyle w:val="NoSpacing"/>
        <w:ind w:left="360" w:hanging="360"/>
      </w:pPr>
      <w:r>
        <w:t xml:space="preserve">A. </w:t>
      </w:r>
      <w:r w:rsidR="002A7369">
        <w:tab/>
      </w:r>
      <w:r>
        <w:t xml:space="preserve">The successful Offeror shall comply with HRS, Chapter 103D and all State, Federal, and County requirements. </w:t>
      </w:r>
    </w:p>
    <w:p w14:paraId="6888C57E" w14:textId="77777777" w:rsidR="006425C9" w:rsidRDefault="006425C9" w:rsidP="00C9512E">
      <w:pPr>
        <w:pStyle w:val="NoSpacing"/>
      </w:pPr>
    </w:p>
    <w:p w14:paraId="06870AEC" w14:textId="0C1B06B4" w:rsidR="006425C9" w:rsidRDefault="00BF2B7C" w:rsidP="002A7369">
      <w:pPr>
        <w:pStyle w:val="NoSpacing"/>
        <w:tabs>
          <w:tab w:val="left" w:pos="360"/>
        </w:tabs>
      </w:pPr>
      <w:r>
        <w:t xml:space="preserve">B. </w:t>
      </w:r>
      <w:r w:rsidR="002A7369">
        <w:t xml:space="preserve"> </w:t>
      </w:r>
      <w:r>
        <w:t xml:space="preserve">License and Compliance </w:t>
      </w:r>
    </w:p>
    <w:p w14:paraId="1EE1B5A6" w14:textId="77777777" w:rsidR="006425C9" w:rsidRDefault="006425C9" w:rsidP="00C9512E">
      <w:pPr>
        <w:pStyle w:val="NoSpacing"/>
      </w:pPr>
    </w:p>
    <w:p w14:paraId="753CC3A0" w14:textId="38AF6031" w:rsidR="000E1763" w:rsidRPr="002B5F39" w:rsidRDefault="00A816AB" w:rsidP="001E76CD">
      <w:pPr>
        <w:pStyle w:val="NoSpacing"/>
        <w:numPr>
          <w:ilvl w:val="0"/>
          <w:numId w:val="2"/>
        </w:numPr>
      </w:pPr>
      <w:r>
        <w:t>T</w:t>
      </w:r>
      <w:r w:rsidR="00BF2B7C">
        <w:t>he successful Offeror must be registered as a business in the State of Hawai‘i, be compliant with Hawai‘i Compliance Express</w:t>
      </w:r>
      <w:r w:rsidR="006336A6">
        <w:t xml:space="preserve"> (HCE)</w:t>
      </w:r>
      <w:r w:rsidR="00E712AC">
        <w:t xml:space="preserve">, </w:t>
      </w:r>
      <w:r w:rsidR="00BF2B7C">
        <w:t>complete the</w:t>
      </w:r>
      <w:r w:rsidR="001A079B">
        <w:t xml:space="preserve"> </w:t>
      </w:r>
      <w:r w:rsidR="00BF2B7C">
        <w:t>W-9 form</w:t>
      </w:r>
      <w:r w:rsidR="00C97A2D">
        <w:t xml:space="preserve"> (</w:t>
      </w:r>
      <w:hyperlink r:id="rId13" w:history="1">
        <w:r w:rsidR="00C97A2D" w:rsidRPr="00D43A0C">
          <w:rPr>
            <w:rStyle w:val="Hyperlink"/>
          </w:rPr>
          <w:t>https://www.irs.gov/pub/irs-pdf/fw9.pdf</w:t>
        </w:r>
      </w:hyperlink>
      <w:r w:rsidR="00C97A2D">
        <w:t xml:space="preserve">) </w:t>
      </w:r>
      <w:r w:rsidR="00BE29BF">
        <w:t xml:space="preserve">and provide </w:t>
      </w:r>
      <w:r w:rsidR="00951B23">
        <w:t>a Certificate of Liability Insurance</w:t>
      </w:r>
      <w:r w:rsidR="008B3A59">
        <w:t xml:space="preserve">.  </w:t>
      </w:r>
      <w:r w:rsidR="00AC7C61">
        <w:t>If you are not registered</w:t>
      </w:r>
      <w:r w:rsidR="001E76CD">
        <w:t xml:space="preserve"> with HCE</w:t>
      </w:r>
      <w:r w:rsidR="00312AB1">
        <w:t xml:space="preserve">, please register </w:t>
      </w:r>
      <w:r w:rsidR="007625B5">
        <w:t xml:space="preserve">by going to </w:t>
      </w:r>
      <w:r w:rsidR="0034479D">
        <w:t>HCE’s website:</w:t>
      </w:r>
      <w:r w:rsidR="001E76CD">
        <w:t xml:space="preserve"> </w:t>
      </w:r>
      <w:hyperlink r:id="rId14" w:history="1">
        <w:r w:rsidR="001E76CD" w:rsidRPr="00AA081C">
          <w:rPr>
            <w:rStyle w:val="Hyperlink"/>
            <w:rFonts w:cs="Times New Roman"/>
            <w:szCs w:val="24"/>
          </w:rPr>
          <w:t>http://vendors.ehawaii.gov/hce/splash/welcome.html</w:t>
        </w:r>
      </w:hyperlink>
    </w:p>
    <w:p w14:paraId="1E813542" w14:textId="77777777" w:rsidR="002B5F39" w:rsidRPr="002B5F39" w:rsidRDefault="002B5F39" w:rsidP="002B5F39">
      <w:pPr>
        <w:pStyle w:val="NoSpacing"/>
        <w:ind w:left="720"/>
      </w:pPr>
    </w:p>
    <w:p w14:paraId="259C37BA" w14:textId="7D3E547A" w:rsidR="008B1D6D" w:rsidRPr="002B5F39" w:rsidRDefault="002B5F39" w:rsidP="002B5F39">
      <w:pPr>
        <w:pStyle w:val="ListParagraph"/>
        <w:numPr>
          <w:ilvl w:val="0"/>
          <w:numId w:val="2"/>
        </w:numPr>
        <w:rPr>
          <w:rStyle w:val="Hyperlink"/>
          <w:rFonts w:ascii="Times New Roman" w:eastAsiaTheme="minorHAnsi" w:hAnsi="Times New Roman" w:cstheme="minorBidi"/>
          <w:color w:val="auto"/>
          <w:szCs w:val="22"/>
          <w:u w:val="none"/>
          <w:bdr w:val="none" w:sz="0" w:space="0" w:color="auto"/>
        </w:rPr>
      </w:pPr>
      <w:r w:rsidRPr="002B5F39">
        <w:rPr>
          <w:rStyle w:val="Hyperlink"/>
          <w:rFonts w:ascii="Times New Roman" w:eastAsiaTheme="minorHAnsi" w:hAnsi="Times New Roman" w:cstheme="minorBidi"/>
          <w:color w:val="auto"/>
          <w:szCs w:val="22"/>
          <w:u w:val="none"/>
          <w:bdr w:val="none" w:sz="0" w:space="0" w:color="auto"/>
        </w:rPr>
        <w:t xml:space="preserve">Submit a current copy of a Certificate of Liability Insurance with the following: </w:t>
      </w:r>
    </w:p>
    <w:p w14:paraId="7F506825" w14:textId="77777777" w:rsidR="008B1D6D" w:rsidRDefault="008B1D6D" w:rsidP="008B1D6D">
      <w:pPr>
        <w:pStyle w:val="NoSpacing"/>
        <w:ind w:left="720"/>
      </w:pPr>
      <w:r>
        <w:t>The minimum insurance coverage and limits below, which shall also apply to subcontractor(s) where appropriate:</w:t>
      </w:r>
    </w:p>
    <w:p w14:paraId="4AB8512C" w14:textId="77777777" w:rsidR="008B1D6D" w:rsidRDefault="008B1D6D" w:rsidP="008B1D6D">
      <w:pPr>
        <w:pStyle w:val="NoSpacing"/>
        <w:ind w:left="720"/>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5014"/>
      </w:tblGrid>
      <w:tr w:rsidR="006A728F" w:rsidRPr="00F143D3" w14:paraId="0B89A422" w14:textId="77777777" w:rsidTr="002E71CA">
        <w:tc>
          <w:tcPr>
            <w:tcW w:w="3618" w:type="dxa"/>
          </w:tcPr>
          <w:p w14:paraId="004CC204" w14:textId="77777777" w:rsidR="006A728F" w:rsidRPr="00F143D3" w:rsidRDefault="006A728F" w:rsidP="002E71CA">
            <w:pPr>
              <w:tabs>
                <w:tab w:val="right" w:pos="9360"/>
              </w:tabs>
              <w:contextualSpacing/>
              <w:jc w:val="center"/>
              <w:rPr>
                <w:rFonts w:eastAsia="Calibri" w:cs="Times New Roman"/>
                <w:szCs w:val="24"/>
              </w:rPr>
            </w:pPr>
            <w:r w:rsidRPr="00F143D3">
              <w:rPr>
                <w:rFonts w:eastAsia="Calibri" w:cs="Times New Roman"/>
                <w:szCs w:val="24"/>
              </w:rPr>
              <w:t xml:space="preserve">Coverage </w:t>
            </w:r>
          </w:p>
        </w:tc>
        <w:tc>
          <w:tcPr>
            <w:tcW w:w="5148" w:type="dxa"/>
          </w:tcPr>
          <w:p w14:paraId="1BBBB7DF" w14:textId="77777777" w:rsidR="006A728F" w:rsidRPr="00F143D3" w:rsidRDefault="006A728F" w:rsidP="002E71CA">
            <w:pPr>
              <w:tabs>
                <w:tab w:val="right" w:pos="9360"/>
              </w:tabs>
              <w:contextualSpacing/>
              <w:jc w:val="center"/>
              <w:rPr>
                <w:rFonts w:eastAsia="Calibri" w:cs="Times New Roman"/>
                <w:szCs w:val="24"/>
              </w:rPr>
            </w:pPr>
            <w:r w:rsidRPr="00F143D3">
              <w:rPr>
                <w:rFonts w:eastAsia="Calibri" w:cs="Times New Roman"/>
                <w:szCs w:val="24"/>
              </w:rPr>
              <w:t>Limit</w:t>
            </w:r>
          </w:p>
        </w:tc>
      </w:tr>
      <w:tr w:rsidR="006A728F" w:rsidRPr="00F143D3" w14:paraId="76F1CAD7" w14:textId="77777777" w:rsidTr="002E71CA">
        <w:tc>
          <w:tcPr>
            <w:tcW w:w="3618" w:type="dxa"/>
          </w:tcPr>
          <w:p w14:paraId="3A6A5E1B"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Commercial General Liability </w:t>
            </w:r>
          </w:p>
        </w:tc>
        <w:tc>
          <w:tcPr>
            <w:tcW w:w="5148" w:type="dxa"/>
          </w:tcPr>
          <w:p w14:paraId="1DA8FCAA"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$2,000,000 single limits per occurrence for bodily injury and personal property damage.</w:t>
            </w:r>
          </w:p>
        </w:tc>
      </w:tr>
      <w:tr w:rsidR="006A728F" w:rsidRPr="00F143D3" w14:paraId="0521394C" w14:textId="77777777" w:rsidTr="002E71CA">
        <w:trPr>
          <w:trHeight w:val="117"/>
        </w:trPr>
        <w:tc>
          <w:tcPr>
            <w:tcW w:w="3618" w:type="dxa"/>
          </w:tcPr>
          <w:p w14:paraId="34FF8614" w14:textId="77777777" w:rsidR="006A728F" w:rsidRPr="00F143D3" w:rsidRDefault="006A728F" w:rsidP="002E71CA">
            <w:pPr>
              <w:tabs>
                <w:tab w:val="right" w:pos="9360"/>
              </w:tabs>
              <w:contextualSpacing/>
              <w:rPr>
                <w:rFonts w:eastAsia="Calibri" w:cs="Times New Roman"/>
                <w:sz w:val="12"/>
                <w:szCs w:val="12"/>
              </w:rPr>
            </w:pPr>
          </w:p>
        </w:tc>
        <w:tc>
          <w:tcPr>
            <w:tcW w:w="5148" w:type="dxa"/>
          </w:tcPr>
          <w:p w14:paraId="49C77D5D" w14:textId="77777777" w:rsidR="006A728F" w:rsidRPr="00F143D3" w:rsidRDefault="006A728F" w:rsidP="002E71CA">
            <w:pPr>
              <w:tabs>
                <w:tab w:val="right" w:pos="9360"/>
              </w:tabs>
              <w:contextualSpacing/>
              <w:rPr>
                <w:rFonts w:eastAsia="Calibri" w:cs="Times New Roman"/>
                <w:sz w:val="12"/>
                <w:szCs w:val="12"/>
              </w:rPr>
            </w:pPr>
          </w:p>
        </w:tc>
      </w:tr>
      <w:tr w:rsidR="006A728F" w:rsidRPr="00F143D3" w14:paraId="1DB7E32A" w14:textId="77777777" w:rsidTr="002E71CA">
        <w:tc>
          <w:tcPr>
            <w:tcW w:w="3618" w:type="dxa"/>
          </w:tcPr>
          <w:p w14:paraId="669FCA49"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Personal Injury Liability </w:t>
            </w:r>
          </w:p>
        </w:tc>
        <w:tc>
          <w:tcPr>
            <w:tcW w:w="5148" w:type="dxa"/>
          </w:tcPr>
          <w:p w14:paraId="1B203CC5"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$1,000,000 single limits per occurrence</w:t>
            </w:r>
          </w:p>
          <w:p w14:paraId="3EC81AC6"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$2,000,000 for general aggregate</w:t>
            </w:r>
          </w:p>
        </w:tc>
      </w:tr>
      <w:tr w:rsidR="006A728F" w:rsidRPr="00F143D3" w14:paraId="0CBBD2B1" w14:textId="77777777" w:rsidTr="002E71CA">
        <w:tc>
          <w:tcPr>
            <w:tcW w:w="3618" w:type="dxa"/>
          </w:tcPr>
          <w:p w14:paraId="329295CE" w14:textId="77777777" w:rsidR="006A728F" w:rsidRPr="00F143D3" w:rsidRDefault="006A728F" w:rsidP="002E71CA">
            <w:pPr>
              <w:tabs>
                <w:tab w:val="right" w:pos="9360"/>
              </w:tabs>
              <w:contextualSpacing/>
              <w:rPr>
                <w:rFonts w:eastAsia="Calibri" w:cs="Times New Roman"/>
                <w:sz w:val="12"/>
                <w:szCs w:val="12"/>
              </w:rPr>
            </w:pPr>
          </w:p>
        </w:tc>
        <w:tc>
          <w:tcPr>
            <w:tcW w:w="5148" w:type="dxa"/>
          </w:tcPr>
          <w:p w14:paraId="3C89C79E" w14:textId="77777777" w:rsidR="006A728F" w:rsidRPr="00F143D3" w:rsidRDefault="006A728F" w:rsidP="002E71CA">
            <w:pPr>
              <w:tabs>
                <w:tab w:val="right" w:pos="9360"/>
              </w:tabs>
              <w:contextualSpacing/>
              <w:rPr>
                <w:rFonts w:eastAsia="Calibri" w:cs="Times New Roman"/>
                <w:sz w:val="12"/>
                <w:szCs w:val="12"/>
              </w:rPr>
            </w:pPr>
          </w:p>
        </w:tc>
      </w:tr>
      <w:tr w:rsidR="006A728F" w:rsidRPr="00F143D3" w14:paraId="5D2689B6" w14:textId="77777777" w:rsidTr="002E71CA">
        <w:trPr>
          <w:trHeight w:val="108"/>
        </w:trPr>
        <w:tc>
          <w:tcPr>
            <w:tcW w:w="3618" w:type="dxa"/>
          </w:tcPr>
          <w:p w14:paraId="1C8E7F0F"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Automobile Insurance covering</w:t>
            </w:r>
          </w:p>
          <w:p w14:paraId="21AD231D"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All owned, non-owned and hired automobiles. </w:t>
            </w:r>
          </w:p>
        </w:tc>
        <w:tc>
          <w:tcPr>
            <w:tcW w:w="5148" w:type="dxa"/>
          </w:tcPr>
          <w:p w14:paraId="0A28E003"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Bodily injury liability limits of $1,000,000 each person and $1,000,000 per accident and property damage liability limits of $1,000,000 per accident OR $2,000,000 combined single limit </w:t>
            </w:r>
          </w:p>
        </w:tc>
      </w:tr>
      <w:tr w:rsidR="006A728F" w:rsidRPr="00F143D3" w14:paraId="01174CF4" w14:textId="77777777" w:rsidTr="002E71CA">
        <w:trPr>
          <w:trHeight w:val="108"/>
        </w:trPr>
        <w:tc>
          <w:tcPr>
            <w:tcW w:w="3618" w:type="dxa"/>
          </w:tcPr>
          <w:p w14:paraId="2A7DF4EB" w14:textId="77777777" w:rsidR="006A728F" w:rsidRPr="00F143D3" w:rsidRDefault="006A728F" w:rsidP="002E71CA">
            <w:pPr>
              <w:tabs>
                <w:tab w:val="right" w:pos="9360"/>
              </w:tabs>
              <w:contextualSpacing/>
              <w:rPr>
                <w:rFonts w:eastAsia="Calibri" w:cs="Times New Roman"/>
                <w:sz w:val="12"/>
                <w:szCs w:val="12"/>
              </w:rPr>
            </w:pPr>
          </w:p>
        </w:tc>
        <w:tc>
          <w:tcPr>
            <w:tcW w:w="5148" w:type="dxa"/>
          </w:tcPr>
          <w:p w14:paraId="3D29A121" w14:textId="77777777" w:rsidR="006A728F" w:rsidRPr="00F143D3" w:rsidRDefault="006A728F" w:rsidP="002E71CA">
            <w:pPr>
              <w:tabs>
                <w:tab w:val="right" w:pos="9360"/>
              </w:tabs>
              <w:contextualSpacing/>
              <w:rPr>
                <w:rFonts w:eastAsia="Calibri" w:cs="Times New Roman"/>
                <w:sz w:val="12"/>
                <w:szCs w:val="12"/>
              </w:rPr>
            </w:pPr>
          </w:p>
        </w:tc>
      </w:tr>
      <w:tr w:rsidR="006A728F" w:rsidRPr="00F143D3" w14:paraId="38A88E6F" w14:textId="77777777" w:rsidTr="002E71CA">
        <w:trPr>
          <w:trHeight w:val="1368"/>
        </w:trPr>
        <w:tc>
          <w:tcPr>
            <w:tcW w:w="3618" w:type="dxa"/>
          </w:tcPr>
          <w:p w14:paraId="75EFD792"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Workers Compensation as required bylaws of the State of Hawaii</w:t>
            </w:r>
          </w:p>
        </w:tc>
        <w:tc>
          <w:tcPr>
            <w:tcW w:w="5148" w:type="dxa"/>
          </w:tcPr>
          <w:p w14:paraId="0D2DFF51"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 Insurance to include Employer’s Liability.  Both such coverages shall apply to all employees of the CONTRACTOR and (in case any sub-contractor fails to provide adequate similar protection for all its employees) to all employees of sub-contractors</w:t>
            </w:r>
          </w:p>
        </w:tc>
      </w:tr>
      <w:tr w:rsidR="006A728F" w:rsidRPr="00F143D3" w14:paraId="65C6ECAB" w14:textId="77777777" w:rsidTr="002E71CA">
        <w:trPr>
          <w:trHeight w:val="108"/>
        </w:trPr>
        <w:tc>
          <w:tcPr>
            <w:tcW w:w="3618" w:type="dxa"/>
          </w:tcPr>
          <w:p w14:paraId="356D0128" w14:textId="77777777" w:rsidR="006A728F" w:rsidRPr="00F143D3" w:rsidRDefault="006A728F" w:rsidP="002E71CA">
            <w:pPr>
              <w:tabs>
                <w:tab w:val="right" w:pos="9360"/>
              </w:tabs>
              <w:contextualSpacing/>
              <w:rPr>
                <w:rFonts w:eastAsia="Calibri" w:cs="Times New Roman"/>
                <w:sz w:val="12"/>
                <w:szCs w:val="12"/>
              </w:rPr>
            </w:pPr>
          </w:p>
        </w:tc>
        <w:tc>
          <w:tcPr>
            <w:tcW w:w="5148" w:type="dxa"/>
          </w:tcPr>
          <w:p w14:paraId="31D2244A" w14:textId="77777777" w:rsidR="006A728F" w:rsidRPr="00F143D3" w:rsidRDefault="006A728F" w:rsidP="002E71CA">
            <w:pPr>
              <w:tabs>
                <w:tab w:val="right" w:pos="9360"/>
              </w:tabs>
              <w:contextualSpacing/>
              <w:rPr>
                <w:rFonts w:eastAsia="Calibri" w:cs="Times New Roman"/>
                <w:sz w:val="12"/>
                <w:szCs w:val="12"/>
              </w:rPr>
            </w:pPr>
          </w:p>
        </w:tc>
      </w:tr>
      <w:tr w:rsidR="006A728F" w:rsidRPr="00F143D3" w14:paraId="46A78B49" w14:textId="77777777" w:rsidTr="002E71CA">
        <w:trPr>
          <w:trHeight w:val="108"/>
        </w:trPr>
        <w:tc>
          <w:tcPr>
            <w:tcW w:w="3618" w:type="dxa"/>
          </w:tcPr>
          <w:p w14:paraId="1B724865"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Professional Liability (Errors and Omissions) </w:t>
            </w:r>
          </w:p>
        </w:tc>
        <w:tc>
          <w:tcPr>
            <w:tcW w:w="5148" w:type="dxa"/>
          </w:tcPr>
          <w:p w14:paraId="0A50103A"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$1,000,000 per claim </w:t>
            </w:r>
          </w:p>
          <w:p w14:paraId="3C8B4A20" w14:textId="77777777" w:rsidR="006A728F" w:rsidRPr="00F143D3" w:rsidRDefault="006A728F" w:rsidP="002E71CA">
            <w:pPr>
              <w:tabs>
                <w:tab w:val="right" w:pos="9360"/>
              </w:tabs>
              <w:contextualSpacing/>
              <w:rPr>
                <w:rFonts w:eastAsia="Calibri" w:cs="Times New Roman"/>
                <w:szCs w:val="24"/>
              </w:rPr>
            </w:pPr>
            <w:r w:rsidRPr="00F143D3">
              <w:rPr>
                <w:rFonts w:eastAsia="Calibri" w:cs="Times New Roman"/>
                <w:szCs w:val="24"/>
              </w:rPr>
              <w:t xml:space="preserve">$2,000,000 annual aggregate </w:t>
            </w:r>
          </w:p>
        </w:tc>
      </w:tr>
    </w:tbl>
    <w:p w14:paraId="5B05AFAB" w14:textId="77777777" w:rsidR="006A728F" w:rsidRDefault="006A728F" w:rsidP="006A728F">
      <w:pPr>
        <w:pStyle w:val="NoSpacing"/>
        <w:ind w:left="720"/>
      </w:pPr>
    </w:p>
    <w:p w14:paraId="3E873777" w14:textId="7C90D343" w:rsidR="008B1D6D" w:rsidRDefault="008B1D6D" w:rsidP="008B1D6D">
      <w:pPr>
        <w:pStyle w:val="NoSpacing"/>
        <w:numPr>
          <w:ilvl w:val="0"/>
          <w:numId w:val="2"/>
        </w:numPr>
      </w:pPr>
      <w:r>
        <w:t xml:space="preserve">Each insurance policy required by the contract, including a subcontractor’s policy, shall contain the following clauses: </w:t>
      </w:r>
    </w:p>
    <w:p w14:paraId="64679670" w14:textId="77777777" w:rsidR="008B1D6D" w:rsidRDefault="008B1D6D" w:rsidP="008B1D6D">
      <w:pPr>
        <w:pStyle w:val="NoSpacing"/>
        <w:ind w:left="720"/>
      </w:pPr>
    </w:p>
    <w:p w14:paraId="75032817" w14:textId="77777777" w:rsidR="008B1D6D" w:rsidRDefault="008B1D6D" w:rsidP="008B1D6D">
      <w:pPr>
        <w:pStyle w:val="NoSpacing"/>
        <w:numPr>
          <w:ilvl w:val="0"/>
          <w:numId w:val="3"/>
        </w:numPr>
      </w:pPr>
      <w:r>
        <w:lastRenderedPageBreak/>
        <w:t xml:space="preserve">“This insurance shall not be canceled, limited in scope of coverage or non-renewed until after 30 days written notice has been given to the Office of Hawaiian Affairs, 560 North Nimitz Highway, Suite 200, Honolulu, HI 96817.” </w:t>
      </w:r>
    </w:p>
    <w:p w14:paraId="1525FFA8" w14:textId="77777777" w:rsidR="008B1D6D" w:rsidRDefault="008B1D6D" w:rsidP="008B1D6D">
      <w:pPr>
        <w:pStyle w:val="NoSpacing"/>
        <w:ind w:left="1080"/>
      </w:pPr>
    </w:p>
    <w:p w14:paraId="6DCD88E6" w14:textId="77777777" w:rsidR="008B1D6D" w:rsidRDefault="008B1D6D" w:rsidP="008B1D6D">
      <w:pPr>
        <w:pStyle w:val="NoSpacing"/>
        <w:numPr>
          <w:ilvl w:val="0"/>
          <w:numId w:val="3"/>
        </w:numPr>
      </w:pPr>
      <w:r>
        <w:t xml:space="preserve">“The Office of Hawaiian Affairs, its trustees, employees, representatives and agents and the State of Hawai‘i are added as additional insureds as respects to operations performed for the Office of Hawaiian Affairs.” </w:t>
      </w:r>
    </w:p>
    <w:p w14:paraId="0109DA97" w14:textId="77777777" w:rsidR="008B1D6D" w:rsidRDefault="008B1D6D" w:rsidP="008B1D6D">
      <w:pPr>
        <w:pStyle w:val="NoSpacing"/>
      </w:pPr>
    </w:p>
    <w:p w14:paraId="72139038" w14:textId="77777777" w:rsidR="008B1D6D" w:rsidRDefault="008B1D6D" w:rsidP="008B1D6D">
      <w:pPr>
        <w:pStyle w:val="NoSpacing"/>
        <w:numPr>
          <w:ilvl w:val="0"/>
          <w:numId w:val="3"/>
        </w:numPr>
      </w:pPr>
      <w:r>
        <w:t>“It is agreed that any insurance maintained by the Office of Hawaiian Affairs will apply in excess of, and not contribute with, insurance provided by this policy.”</w:t>
      </w:r>
    </w:p>
    <w:p w14:paraId="7390AB7A" w14:textId="77777777" w:rsidR="008B1D6D" w:rsidRDefault="008B1D6D" w:rsidP="008B1D6D">
      <w:pPr>
        <w:pStyle w:val="NoSpacing"/>
      </w:pPr>
    </w:p>
    <w:p w14:paraId="6763EB8D" w14:textId="77777777" w:rsidR="008B1D6D" w:rsidRDefault="008B1D6D" w:rsidP="000E1763">
      <w:pPr>
        <w:pStyle w:val="NoSpacing"/>
        <w:tabs>
          <w:tab w:val="left" w:pos="0"/>
          <w:tab w:val="left" w:pos="1440"/>
          <w:tab w:val="left" w:pos="1800"/>
          <w:tab w:val="left" w:pos="2160"/>
        </w:tabs>
        <w:jc w:val="center"/>
        <w:rPr>
          <w:rStyle w:val="Hyperlink"/>
          <w:rFonts w:cs="Times New Roman"/>
          <w:szCs w:val="24"/>
        </w:rPr>
      </w:pPr>
    </w:p>
    <w:p w14:paraId="06CA4CAF" w14:textId="77777777" w:rsidR="00C8262C" w:rsidRDefault="00C8262C" w:rsidP="00C8262C">
      <w:pPr>
        <w:pStyle w:val="NoSpacing"/>
      </w:pPr>
      <w:r>
        <w:t>The RFQ may be canceled when it is determined to be in the best interest of the OHA. If you</w:t>
      </w:r>
    </w:p>
    <w:p w14:paraId="19EC957E" w14:textId="2207C2CF" w:rsidR="00C8262C" w:rsidRDefault="00C8262C" w:rsidP="00C8262C">
      <w:pPr>
        <w:pStyle w:val="NoSpacing"/>
      </w:pPr>
      <w:r>
        <w:t>have any questions, you may contact Geena Chau, Procurement Specialist, by email at</w:t>
      </w:r>
    </w:p>
    <w:p w14:paraId="07C68476" w14:textId="36D3A69C" w:rsidR="00C9512E" w:rsidRPr="00C9512E" w:rsidRDefault="00C8262C" w:rsidP="00C8262C">
      <w:pPr>
        <w:pStyle w:val="NoSpacing"/>
      </w:pPr>
      <w:r>
        <w:t>geenac@oha.org</w:t>
      </w:r>
      <w:r w:rsidR="00EF312A">
        <w:t>.</w:t>
      </w:r>
    </w:p>
    <w:sectPr w:rsidR="00C9512E" w:rsidRPr="00C951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37D0" w14:textId="77777777" w:rsidR="00BC1DF8" w:rsidRDefault="00BC1DF8" w:rsidP="0081225F">
      <w:pPr>
        <w:spacing w:after="0" w:line="240" w:lineRule="auto"/>
      </w:pPr>
      <w:r>
        <w:separator/>
      </w:r>
    </w:p>
  </w:endnote>
  <w:endnote w:type="continuationSeparator" w:id="0">
    <w:p w14:paraId="121C7819" w14:textId="77777777" w:rsidR="00BC1DF8" w:rsidRDefault="00BC1DF8" w:rsidP="0081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awnTime">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E942" w14:textId="4AA70E29" w:rsidR="0081225F" w:rsidRPr="0081225F" w:rsidRDefault="00556EBA">
    <w:pPr>
      <w:pStyle w:val="Footer"/>
    </w:pPr>
    <w:r>
      <w:t xml:space="preserve">RFQ No. </w:t>
    </w:r>
    <w:r w:rsidR="00AE341F">
      <w:t>WCH 2020-</w:t>
    </w:r>
    <w:r w:rsidR="009C1F30">
      <w:t>35</w:t>
    </w:r>
    <w:r w:rsidR="0081225F">
      <w:ptab w:relativeTo="margin" w:alignment="center" w:leader="none"/>
    </w:r>
    <w:r w:rsidR="0081225F" w:rsidRPr="0081225F">
      <w:ptab w:relativeTo="margin" w:alignment="right" w:leader="none"/>
    </w:r>
    <w:r w:rsidR="0081225F" w:rsidRPr="0081225F">
      <w:t xml:space="preserve">Page </w:t>
    </w:r>
    <w:r w:rsidR="0081225F" w:rsidRPr="0081225F">
      <w:rPr>
        <w:bCs/>
      </w:rPr>
      <w:fldChar w:fldCharType="begin"/>
    </w:r>
    <w:r w:rsidR="0081225F" w:rsidRPr="0081225F">
      <w:rPr>
        <w:bCs/>
      </w:rPr>
      <w:instrText xml:space="preserve"> PAGE  \* Arabic  \* MERGEFORMAT </w:instrText>
    </w:r>
    <w:r w:rsidR="0081225F" w:rsidRPr="0081225F">
      <w:rPr>
        <w:bCs/>
      </w:rPr>
      <w:fldChar w:fldCharType="separate"/>
    </w:r>
    <w:r w:rsidR="00FF41A3">
      <w:rPr>
        <w:bCs/>
        <w:noProof/>
      </w:rPr>
      <w:t>1</w:t>
    </w:r>
    <w:r w:rsidR="0081225F" w:rsidRPr="0081225F">
      <w:rPr>
        <w:bCs/>
      </w:rPr>
      <w:fldChar w:fldCharType="end"/>
    </w:r>
    <w:r w:rsidR="0081225F" w:rsidRPr="0081225F">
      <w:t xml:space="preserve"> of </w:t>
    </w:r>
    <w:r w:rsidR="0081225F" w:rsidRPr="0081225F">
      <w:rPr>
        <w:bCs/>
      </w:rPr>
      <w:fldChar w:fldCharType="begin"/>
    </w:r>
    <w:r w:rsidR="0081225F" w:rsidRPr="0081225F">
      <w:rPr>
        <w:bCs/>
      </w:rPr>
      <w:instrText xml:space="preserve"> NUMPAGES  \* Arabic  \* MERGEFORMAT </w:instrText>
    </w:r>
    <w:r w:rsidR="0081225F" w:rsidRPr="0081225F">
      <w:rPr>
        <w:bCs/>
      </w:rPr>
      <w:fldChar w:fldCharType="separate"/>
    </w:r>
    <w:r w:rsidR="00FF41A3">
      <w:rPr>
        <w:bCs/>
        <w:noProof/>
      </w:rPr>
      <w:t>3</w:t>
    </w:r>
    <w:r w:rsidR="0081225F" w:rsidRPr="008122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60C27" w14:textId="77777777" w:rsidR="00BC1DF8" w:rsidRDefault="00BC1DF8" w:rsidP="0081225F">
      <w:pPr>
        <w:spacing w:after="0" w:line="240" w:lineRule="auto"/>
      </w:pPr>
      <w:r>
        <w:separator/>
      </w:r>
    </w:p>
  </w:footnote>
  <w:footnote w:type="continuationSeparator" w:id="0">
    <w:p w14:paraId="69E4DD6F" w14:textId="77777777" w:rsidR="00BC1DF8" w:rsidRDefault="00BC1DF8" w:rsidP="0081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1C6"/>
    <w:multiLevelType w:val="hybridMultilevel"/>
    <w:tmpl w:val="9446B8FA"/>
    <w:lvl w:ilvl="0" w:tplc="F912A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B737D"/>
    <w:multiLevelType w:val="hybridMultilevel"/>
    <w:tmpl w:val="8D047144"/>
    <w:lvl w:ilvl="0" w:tplc="05EED05C">
      <w:start w:val="1"/>
      <w:numFmt w:val="decimal"/>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9D2FF2"/>
    <w:multiLevelType w:val="multilevel"/>
    <w:tmpl w:val="88ACD854"/>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810" w:firstLine="0"/>
      </w:pPr>
      <w:rPr>
        <w:rFonts w:hint="default"/>
        <w:b/>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3DC733F9"/>
    <w:multiLevelType w:val="hybridMultilevel"/>
    <w:tmpl w:val="58263F1C"/>
    <w:lvl w:ilvl="0" w:tplc="FFFFFFFF">
      <w:start w:val="1"/>
      <w:numFmt w:val="decimal"/>
      <w:lvlText w:val="%1."/>
      <w:lvlJc w:val="left"/>
      <w:pPr>
        <w:ind w:left="360" w:hanging="360"/>
      </w:pPr>
    </w:lvl>
    <w:lvl w:ilvl="1" w:tplc="DE8C498A">
      <w:start w:val="1"/>
      <w:numFmt w:val="lowerLetter"/>
      <w:lvlText w:val="%2."/>
      <w:lvlJc w:val="left"/>
      <w:pPr>
        <w:ind w:left="360" w:firstLine="0"/>
      </w:pPr>
      <w:rPr>
        <w:rFonts w:hint="default"/>
      </w:rPr>
    </w:lvl>
    <w:lvl w:ilvl="2" w:tplc="F9827434">
      <w:start w:val="1"/>
      <w:numFmt w:val="lowerRoman"/>
      <w:lvlText w:val="%3."/>
      <w:lvlJc w:val="righ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B82630"/>
    <w:multiLevelType w:val="hybridMultilevel"/>
    <w:tmpl w:val="E4C4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AD"/>
    <w:rsid w:val="00004AB3"/>
    <w:rsid w:val="00006619"/>
    <w:rsid w:val="00007A0E"/>
    <w:rsid w:val="000116DC"/>
    <w:rsid w:val="000141C8"/>
    <w:rsid w:val="00020CEC"/>
    <w:rsid w:val="00040151"/>
    <w:rsid w:val="00060064"/>
    <w:rsid w:val="00071827"/>
    <w:rsid w:val="00082C78"/>
    <w:rsid w:val="000846E5"/>
    <w:rsid w:val="000C2CCD"/>
    <w:rsid w:val="000D6931"/>
    <w:rsid w:val="000E1763"/>
    <w:rsid w:val="000E4782"/>
    <w:rsid w:val="000F175D"/>
    <w:rsid w:val="000F365B"/>
    <w:rsid w:val="000F4FDC"/>
    <w:rsid w:val="000F7868"/>
    <w:rsid w:val="00111A80"/>
    <w:rsid w:val="001267F7"/>
    <w:rsid w:val="001275FD"/>
    <w:rsid w:val="0013000D"/>
    <w:rsid w:val="00134B8B"/>
    <w:rsid w:val="00141569"/>
    <w:rsid w:val="00144742"/>
    <w:rsid w:val="00154650"/>
    <w:rsid w:val="00155A3F"/>
    <w:rsid w:val="00164D46"/>
    <w:rsid w:val="00170700"/>
    <w:rsid w:val="0017093D"/>
    <w:rsid w:val="001855D7"/>
    <w:rsid w:val="001A079B"/>
    <w:rsid w:val="001A079E"/>
    <w:rsid w:val="001A313A"/>
    <w:rsid w:val="001A5BE5"/>
    <w:rsid w:val="001B7287"/>
    <w:rsid w:val="001C02A0"/>
    <w:rsid w:val="001C1BE4"/>
    <w:rsid w:val="001C59BE"/>
    <w:rsid w:val="001E76CD"/>
    <w:rsid w:val="00211E9F"/>
    <w:rsid w:val="00243016"/>
    <w:rsid w:val="00260202"/>
    <w:rsid w:val="00261C59"/>
    <w:rsid w:val="002678A8"/>
    <w:rsid w:val="0027424C"/>
    <w:rsid w:val="00275338"/>
    <w:rsid w:val="002800C5"/>
    <w:rsid w:val="002A7369"/>
    <w:rsid w:val="002B0953"/>
    <w:rsid w:val="002B5F39"/>
    <w:rsid w:val="002C1778"/>
    <w:rsid w:val="002C1A17"/>
    <w:rsid w:val="002D267C"/>
    <w:rsid w:val="002F428B"/>
    <w:rsid w:val="00312AB1"/>
    <w:rsid w:val="00322DE5"/>
    <w:rsid w:val="003264A7"/>
    <w:rsid w:val="003340E6"/>
    <w:rsid w:val="00342EF4"/>
    <w:rsid w:val="0034479D"/>
    <w:rsid w:val="003448E2"/>
    <w:rsid w:val="00345A4E"/>
    <w:rsid w:val="003505AA"/>
    <w:rsid w:val="003740D5"/>
    <w:rsid w:val="00377145"/>
    <w:rsid w:val="00381D97"/>
    <w:rsid w:val="003850FF"/>
    <w:rsid w:val="003C1351"/>
    <w:rsid w:val="003C406E"/>
    <w:rsid w:val="003C62FB"/>
    <w:rsid w:val="003E3865"/>
    <w:rsid w:val="003E460D"/>
    <w:rsid w:val="003F2728"/>
    <w:rsid w:val="00402C43"/>
    <w:rsid w:val="00404E14"/>
    <w:rsid w:val="00404F08"/>
    <w:rsid w:val="00407D3F"/>
    <w:rsid w:val="00421407"/>
    <w:rsid w:val="00446E87"/>
    <w:rsid w:val="00457871"/>
    <w:rsid w:val="004850C6"/>
    <w:rsid w:val="00490A4C"/>
    <w:rsid w:val="004B52D3"/>
    <w:rsid w:val="004B6391"/>
    <w:rsid w:val="004C2265"/>
    <w:rsid w:val="005068E0"/>
    <w:rsid w:val="00511D2B"/>
    <w:rsid w:val="00520BAD"/>
    <w:rsid w:val="005228C8"/>
    <w:rsid w:val="00532810"/>
    <w:rsid w:val="00534FBA"/>
    <w:rsid w:val="005423B7"/>
    <w:rsid w:val="00551932"/>
    <w:rsid w:val="00551B54"/>
    <w:rsid w:val="00556EBA"/>
    <w:rsid w:val="00565BC5"/>
    <w:rsid w:val="005706A8"/>
    <w:rsid w:val="00587295"/>
    <w:rsid w:val="00593F3A"/>
    <w:rsid w:val="005972C0"/>
    <w:rsid w:val="005D78E6"/>
    <w:rsid w:val="005F1047"/>
    <w:rsid w:val="005F72A8"/>
    <w:rsid w:val="006063EA"/>
    <w:rsid w:val="00627ED3"/>
    <w:rsid w:val="0063283D"/>
    <w:rsid w:val="006336A6"/>
    <w:rsid w:val="00640C31"/>
    <w:rsid w:val="006425C9"/>
    <w:rsid w:val="0064264E"/>
    <w:rsid w:val="0064387A"/>
    <w:rsid w:val="006501AB"/>
    <w:rsid w:val="00665081"/>
    <w:rsid w:val="00681AB8"/>
    <w:rsid w:val="00684003"/>
    <w:rsid w:val="006A5403"/>
    <w:rsid w:val="006A728F"/>
    <w:rsid w:val="006B7BCC"/>
    <w:rsid w:val="006D4298"/>
    <w:rsid w:val="006E383E"/>
    <w:rsid w:val="006F240C"/>
    <w:rsid w:val="00710613"/>
    <w:rsid w:val="0071452B"/>
    <w:rsid w:val="007202E4"/>
    <w:rsid w:val="00735E5B"/>
    <w:rsid w:val="007418D8"/>
    <w:rsid w:val="007625B5"/>
    <w:rsid w:val="00786354"/>
    <w:rsid w:val="0078685A"/>
    <w:rsid w:val="0079600F"/>
    <w:rsid w:val="007A12D6"/>
    <w:rsid w:val="007B0A97"/>
    <w:rsid w:val="007B17EC"/>
    <w:rsid w:val="007B473D"/>
    <w:rsid w:val="007B6D46"/>
    <w:rsid w:val="007D5A26"/>
    <w:rsid w:val="007F01C8"/>
    <w:rsid w:val="007F0367"/>
    <w:rsid w:val="0080191C"/>
    <w:rsid w:val="0080753C"/>
    <w:rsid w:val="00810608"/>
    <w:rsid w:val="0081225F"/>
    <w:rsid w:val="00820040"/>
    <w:rsid w:val="00820761"/>
    <w:rsid w:val="00821576"/>
    <w:rsid w:val="00823B86"/>
    <w:rsid w:val="00837A4F"/>
    <w:rsid w:val="00844160"/>
    <w:rsid w:val="00850679"/>
    <w:rsid w:val="00851CE6"/>
    <w:rsid w:val="008B1D6D"/>
    <w:rsid w:val="008B3A59"/>
    <w:rsid w:val="008C61DF"/>
    <w:rsid w:val="008D7AC8"/>
    <w:rsid w:val="008E02F6"/>
    <w:rsid w:val="008E5683"/>
    <w:rsid w:val="00903792"/>
    <w:rsid w:val="00910F5A"/>
    <w:rsid w:val="00914ABD"/>
    <w:rsid w:val="00923728"/>
    <w:rsid w:val="00931AA3"/>
    <w:rsid w:val="00940D28"/>
    <w:rsid w:val="00947053"/>
    <w:rsid w:val="00951B23"/>
    <w:rsid w:val="00974CDA"/>
    <w:rsid w:val="009805B5"/>
    <w:rsid w:val="00982404"/>
    <w:rsid w:val="009A672E"/>
    <w:rsid w:val="009B66A9"/>
    <w:rsid w:val="009C1F30"/>
    <w:rsid w:val="009D5164"/>
    <w:rsid w:val="009E2B2B"/>
    <w:rsid w:val="009E4D38"/>
    <w:rsid w:val="009F0D79"/>
    <w:rsid w:val="00A0315D"/>
    <w:rsid w:val="00A11C85"/>
    <w:rsid w:val="00A205F7"/>
    <w:rsid w:val="00A3457A"/>
    <w:rsid w:val="00A47AB9"/>
    <w:rsid w:val="00A56AEF"/>
    <w:rsid w:val="00A60CF9"/>
    <w:rsid w:val="00A647B1"/>
    <w:rsid w:val="00A707B5"/>
    <w:rsid w:val="00A7488F"/>
    <w:rsid w:val="00A76FF6"/>
    <w:rsid w:val="00A816AB"/>
    <w:rsid w:val="00A83413"/>
    <w:rsid w:val="00A91661"/>
    <w:rsid w:val="00A9391F"/>
    <w:rsid w:val="00AB510E"/>
    <w:rsid w:val="00AB733A"/>
    <w:rsid w:val="00AC29FD"/>
    <w:rsid w:val="00AC7C61"/>
    <w:rsid w:val="00AD15D4"/>
    <w:rsid w:val="00AD78B5"/>
    <w:rsid w:val="00AE341F"/>
    <w:rsid w:val="00AE71C8"/>
    <w:rsid w:val="00AF049A"/>
    <w:rsid w:val="00AF6C0A"/>
    <w:rsid w:val="00B02ABA"/>
    <w:rsid w:val="00B034C9"/>
    <w:rsid w:val="00B047CB"/>
    <w:rsid w:val="00B17A27"/>
    <w:rsid w:val="00B2236A"/>
    <w:rsid w:val="00B30D21"/>
    <w:rsid w:val="00B3211E"/>
    <w:rsid w:val="00B356B3"/>
    <w:rsid w:val="00B35B34"/>
    <w:rsid w:val="00B52BA0"/>
    <w:rsid w:val="00B5686D"/>
    <w:rsid w:val="00B61F4B"/>
    <w:rsid w:val="00B731CB"/>
    <w:rsid w:val="00B8314F"/>
    <w:rsid w:val="00B84640"/>
    <w:rsid w:val="00B94427"/>
    <w:rsid w:val="00BA662E"/>
    <w:rsid w:val="00BB4A9C"/>
    <w:rsid w:val="00BB7E46"/>
    <w:rsid w:val="00BC1DF8"/>
    <w:rsid w:val="00BC46B6"/>
    <w:rsid w:val="00BD3F67"/>
    <w:rsid w:val="00BD7949"/>
    <w:rsid w:val="00BE1F32"/>
    <w:rsid w:val="00BE29BF"/>
    <w:rsid w:val="00BF2B7C"/>
    <w:rsid w:val="00C05D90"/>
    <w:rsid w:val="00C125C2"/>
    <w:rsid w:val="00C1412E"/>
    <w:rsid w:val="00C17E7A"/>
    <w:rsid w:val="00C2005A"/>
    <w:rsid w:val="00C2531C"/>
    <w:rsid w:val="00C42C51"/>
    <w:rsid w:val="00C465CF"/>
    <w:rsid w:val="00C526F7"/>
    <w:rsid w:val="00C545AD"/>
    <w:rsid w:val="00C6195A"/>
    <w:rsid w:val="00C64963"/>
    <w:rsid w:val="00C65380"/>
    <w:rsid w:val="00C8262C"/>
    <w:rsid w:val="00C9512E"/>
    <w:rsid w:val="00C96856"/>
    <w:rsid w:val="00C97A2D"/>
    <w:rsid w:val="00CA57E1"/>
    <w:rsid w:val="00CB0044"/>
    <w:rsid w:val="00CB3602"/>
    <w:rsid w:val="00CD655C"/>
    <w:rsid w:val="00CD7B98"/>
    <w:rsid w:val="00CE146E"/>
    <w:rsid w:val="00CF61C1"/>
    <w:rsid w:val="00D03634"/>
    <w:rsid w:val="00D05328"/>
    <w:rsid w:val="00D0660F"/>
    <w:rsid w:val="00D06A0B"/>
    <w:rsid w:val="00D07C9F"/>
    <w:rsid w:val="00D16616"/>
    <w:rsid w:val="00D26D36"/>
    <w:rsid w:val="00D42683"/>
    <w:rsid w:val="00D479F7"/>
    <w:rsid w:val="00D51691"/>
    <w:rsid w:val="00D518FF"/>
    <w:rsid w:val="00D62A4D"/>
    <w:rsid w:val="00D64F17"/>
    <w:rsid w:val="00D738A8"/>
    <w:rsid w:val="00D8306A"/>
    <w:rsid w:val="00D84B42"/>
    <w:rsid w:val="00D84D8C"/>
    <w:rsid w:val="00D927CC"/>
    <w:rsid w:val="00D9707D"/>
    <w:rsid w:val="00DA3551"/>
    <w:rsid w:val="00DB789A"/>
    <w:rsid w:val="00DC2452"/>
    <w:rsid w:val="00DC483B"/>
    <w:rsid w:val="00DC5514"/>
    <w:rsid w:val="00DE63E3"/>
    <w:rsid w:val="00DF0A2E"/>
    <w:rsid w:val="00DF487C"/>
    <w:rsid w:val="00DF5D01"/>
    <w:rsid w:val="00E00A31"/>
    <w:rsid w:val="00E119A8"/>
    <w:rsid w:val="00E14858"/>
    <w:rsid w:val="00E21BC9"/>
    <w:rsid w:val="00E40AB0"/>
    <w:rsid w:val="00E52CBC"/>
    <w:rsid w:val="00E63A58"/>
    <w:rsid w:val="00E712AC"/>
    <w:rsid w:val="00E71784"/>
    <w:rsid w:val="00E75071"/>
    <w:rsid w:val="00E80417"/>
    <w:rsid w:val="00E91055"/>
    <w:rsid w:val="00E963C0"/>
    <w:rsid w:val="00EA3838"/>
    <w:rsid w:val="00EA7F69"/>
    <w:rsid w:val="00EB1079"/>
    <w:rsid w:val="00EB5103"/>
    <w:rsid w:val="00EC4F0C"/>
    <w:rsid w:val="00EC57D5"/>
    <w:rsid w:val="00ED4A0A"/>
    <w:rsid w:val="00EE202C"/>
    <w:rsid w:val="00EE7E68"/>
    <w:rsid w:val="00EF1E79"/>
    <w:rsid w:val="00EF260E"/>
    <w:rsid w:val="00EF27C6"/>
    <w:rsid w:val="00EF312A"/>
    <w:rsid w:val="00F00CA3"/>
    <w:rsid w:val="00F242D7"/>
    <w:rsid w:val="00F352A8"/>
    <w:rsid w:val="00F453B3"/>
    <w:rsid w:val="00F5409C"/>
    <w:rsid w:val="00F5562C"/>
    <w:rsid w:val="00F60991"/>
    <w:rsid w:val="00F67380"/>
    <w:rsid w:val="00F67CE6"/>
    <w:rsid w:val="00F71564"/>
    <w:rsid w:val="00F8390D"/>
    <w:rsid w:val="00F930B5"/>
    <w:rsid w:val="00FA1D3A"/>
    <w:rsid w:val="00FA66DA"/>
    <w:rsid w:val="00FC6FEA"/>
    <w:rsid w:val="00FE396F"/>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10DBE"/>
  <w15:chartTrackingRefBased/>
  <w15:docId w15:val="{AC29F150-29F9-4F87-9EFE-88F1246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AD"/>
    <w:pPr>
      <w:spacing w:after="200" w:line="276" w:lineRule="auto"/>
    </w:pPr>
    <w:rPr>
      <w:rFonts w:ascii="Times New Roman" w:hAnsi="Times New Roman"/>
      <w:sz w:val="24"/>
    </w:rPr>
  </w:style>
  <w:style w:type="paragraph" w:styleId="Heading1">
    <w:name w:val="heading 1"/>
    <w:basedOn w:val="Normal"/>
    <w:next w:val="Normal"/>
    <w:link w:val="Heading1Char"/>
    <w:qFormat/>
    <w:rsid w:val="00910F5A"/>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10F5A"/>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10F5A"/>
    <w:pPr>
      <w:keepNext/>
      <w:keepLines/>
      <w:numPr>
        <w:ilvl w:val="2"/>
        <w:numId w:val="1"/>
      </w:numPr>
      <w:spacing w:before="200" w:after="0"/>
      <w:outlineLvl w:val="2"/>
    </w:pPr>
    <w:rPr>
      <w:rFonts w:asciiTheme="majorHAnsi" w:eastAsiaTheme="majorEastAsia" w:hAnsiTheme="majorHAnsi" w:cstheme="majorBidi"/>
      <w:b/>
      <w:bCs/>
      <w:color w:val="4472C4" w:themeColor="accent1"/>
      <w:sz w:val="22"/>
    </w:rPr>
  </w:style>
  <w:style w:type="paragraph" w:styleId="Heading4">
    <w:name w:val="heading 4"/>
    <w:basedOn w:val="Normal"/>
    <w:next w:val="Normal"/>
    <w:link w:val="Heading4Char"/>
    <w:uiPriority w:val="9"/>
    <w:unhideWhenUsed/>
    <w:qFormat/>
    <w:rsid w:val="00910F5A"/>
    <w:pPr>
      <w:keepNext/>
      <w:keepLines/>
      <w:numPr>
        <w:ilvl w:val="3"/>
        <w:numId w:val="1"/>
      </w:numPr>
      <w:spacing w:before="200" w:after="0"/>
      <w:outlineLvl w:val="3"/>
    </w:pPr>
    <w:rPr>
      <w:rFonts w:asciiTheme="majorHAnsi" w:eastAsiaTheme="majorEastAsia" w:hAnsiTheme="majorHAnsi" w:cstheme="majorBidi"/>
      <w:b/>
      <w:bCs/>
      <w:i/>
      <w:iCs/>
      <w:color w:val="4472C4" w:themeColor="accent1"/>
      <w:sz w:val="22"/>
    </w:rPr>
  </w:style>
  <w:style w:type="paragraph" w:styleId="Heading5">
    <w:name w:val="heading 5"/>
    <w:basedOn w:val="Normal"/>
    <w:next w:val="Normal"/>
    <w:link w:val="Heading5Char"/>
    <w:uiPriority w:val="9"/>
    <w:semiHidden/>
    <w:unhideWhenUsed/>
    <w:qFormat/>
    <w:rsid w:val="00910F5A"/>
    <w:pPr>
      <w:keepNext/>
      <w:keepLines/>
      <w:numPr>
        <w:ilvl w:val="4"/>
        <w:numId w:val="1"/>
      </w:numPr>
      <w:spacing w:before="200" w:after="0"/>
      <w:outlineLvl w:val="4"/>
    </w:pPr>
    <w:rPr>
      <w:rFonts w:asciiTheme="majorHAnsi" w:eastAsiaTheme="majorEastAsia" w:hAnsiTheme="majorHAnsi" w:cstheme="majorBidi"/>
      <w:color w:val="1F3763" w:themeColor="accent1" w:themeShade="7F"/>
      <w:sz w:val="22"/>
    </w:rPr>
  </w:style>
  <w:style w:type="paragraph" w:styleId="Heading6">
    <w:name w:val="heading 6"/>
    <w:basedOn w:val="Normal"/>
    <w:next w:val="Normal"/>
    <w:link w:val="Heading6Char"/>
    <w:uiPriority w:val="9"/>
    <w:semiHidden/>
    <w:unhideWhenUsed/>
    <w:qFormat/>
    <w:rsid w:val="00910F5A"/>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sz w:val="22"/>
    </w:rPr>
  </w:style>
  <w:style w:type="paragraph" w:styleId="Heading7">
    <w:name w:val="heading 7"/>
    <w:basedOn w:val="Normal"/>
    <w:next w:val="Normal"/>
    <w:link w:val="Heading7Char"/>
    <w:uiPriority w:val="9"/>
    <w:semiHidden/>
    <w:unhideWhenUsed/>
    <w:qFormat/>
    <w:rsid w:val="00910F5A"/>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10F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0F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45AD"/>
    <w:pPr>
      <w:spacing w:after="0" w:line="240" w:lineRule="auto"/>
    </w:pPr>
    <w:rPr>
      <w:rFonts w:ascii="Times New Roman" w:hAnsi="Times New Roman"/>
      <w:sz w:val="24"/>
    </w:rPr>
  </w:style>
  <w:style w:type="character" w:styleId="Hyperlink">
    <w:name w:val="Hyperlink"/>
    <w:basedOn w:val="DefaultParagraphFont"/>
    <w:uiPriority w:val="99"/>
    <w:unhideWhenUsed/>
    <w:rsid w:val="00C545AD"/>
    <w:rPr>
      <w:color w:val="0563C1" w:themeColor="hyperlink"/>
      <w:u w:val="single"/>
    </w:rPr>
  </w:style>
  <w:style w:type="character" w:customStyle="1" w:styleId="NoSpacingChar">
    <w:name w:val="No Spacing Char"/>
    <w:link w:val="NoSpacing"/>
    <w:uiPriority w:val="1"/>
    <w:rsid w:val="00C545AD"/>
    <w:rPr>
      <w:rFonts w:ascii="Times New Roman" w:hAnsi="Times New Roman"/>
      <w:sz w:val="24"/>
    </w:rPr>
  </w:style>
  <w:style w:type="paragraph" w:styleId="CommentText">
    <w:name w:val="annotation text"/>
    <w:basedOn w:val="Normal"/>
    <w:link w:val="CommentTextChar"/>
    <w:uiPriority w:val="99"/>
    <w:semiHidden/>
    <w:unhideWhenUsed/>
    <w:rsid w:val="00C545AD"/>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C545AD"/>
    <w:rPr>
      <w:rFonts w:ascii="Courier" w:eastAsia="Times New Roman" w:hAnsi="Courier" w:cs="Times New Roman"/>
      <w:snapToGrid w:val="0"/>
      <w:sz w:val="20"/>
      <w:szCs w:val="20"/>
    </w:rPr>
  </w:style>
  <w:style w:type="character" w:styleId="CommentReference">
    <w:name w:val="annotation reference"/>
    <w:basedOn w:val="DefaultParagraphFont"/>
    <w:uiPriority w:val="99"/>
    <w:semiHidden/>
    <w:unhideWhenUsed/>
    <w:rsid w:val="00C545AD"/>
    <w:rPr>
      <w:sz w:val="16"/>
      <w:szCs w:val="16"/>
    </w:rPr>
  </w:style>
  <w:style w:type="paragraph" w:styleId="BalloonText">
    <w:name w:val="Balloon Text"/>
    <w:basedOn w:val="Normal"/>
    <w:link w:val="BalloonTextChar"/>
    <w:uiPriority w:val="99"/>
    <w:semiHidden/>
    <w:unhideWhenUsed/>
    <w:rsid w:val="00C5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AD"/>
    <w:rPr>
      <w:rFonts w:ascii="Segoe UI" w:hAnsi="Segoe UI" w:cs="Segoe UI"/>
      <w:sz w:val="18"/>
      <w:szCs w:val="18"/>
    </w:rPr>
  </w:style>
  <w:style w:type="paragraph" w:styleId="ListParagraph">
    <w:name w:val="List Paragraph"/>
    <w:uiPriority w:val="34"/>
    <w:qFormat/>
    <w:rsid w:val="00060064"/>
    <w:pPr>
      <w:pBdr>
        <w:top w:val="nil"/>
        <w:left w:val="nil"/>
        <w:bottom w:val="nil"/>
        <w:right w:val="nil"/>
        <w:between w:val="nil"/>
        <w:bar w:val="nil"/>
      </w:pBdr>
      <w:spacing w:after="200" w:line="276" w:lineRule="auto"/>
      <w:ind w:left="720"/>
    </w:pPr>
    <w:rPr>
      <w:rFonts w:ascii="HawnTime" w:eastAsia="HawnTime" w:hAnsi="HawnTime" w:cs="HawnTime"/>
      <w:color w:val="000000"/>
      <w:sz w:val="24"/>
      <w:szCs w:val="24"/>
      <w:u w:color="000000"/>
      <w:bdr w:val="nil"/>
    </w:rPr>
  </w:style>
  <w:style w:type="character" w:customStyle="1" w:styleId="None">
    <w:name w:val="None"/>
    <w:rsid w:val="00060064"/>
  </w:style>
  <w:style w:type="paragraph" w:styleId="Header">
    <w:name w:val="header"/>
    <w:basedOn w:val="Normal"/>
    <w:link w:val="HeaderChar"/>
    <w:uiPriority w:val="99"/>
    <w:unhideWhenUsed/>
    <w:rsid w:val="0081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F"/>
    <w:rPr>
      <w:rFonts w:ascii="Times New Roman" w:hAnsi="Times New Roman"/>
      <w:sz w:val="24"/>
    </w:rPr>
  </w:style>
  <w:style w:type="paragraph" w:styleId="Footer">
    <w:name w:val="footer"/>
    <w:basedOn w:val="Normal"/>
    <w:link w:val="FooterChar"/>
    <w:uiPriority w:val="99"/>
    <w:unhideWhenUsed/>
    <w:rsid w:val="0081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5F"/>
    <w:rPr>
      <w:rFonts w:ascii="Times New Roman" w:hAnsi="Times New Roman"/>
      <w:sz w:val="24"/>
    </w:rPr>
  </w:style>
  <w:style w:type="character" w:customStyle="1" w:styleId="Heading1Char">
    <w:name w:val="Heading 1 Char"/>
    <w:basedOn w:val="DefaultParagraphFont"/>
    <w:link w:val="Heading1"/>
    <w:rsid w:val="00910F5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10F5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10F5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10F5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10F5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10F5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10F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0F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0F5A"/>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E119A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1452B"/>
    <w:pPr>
      <w:widowControl/>
      <w:spacing w:after="200"/>
    </w:pPr>
    <w:rPr>
      <w:rFonts w:ascii="Times New Roman" w:eastAsiaTheme="minorHAnsi" w:hAnsi="Times New Roman" w:cstheme="minorBidi"/>
      <w:b/>
      <w:bCs/>
      <w:snapToGrid/>
    </w:rPr>
  </w:style>
  <w:style w:type="character" w:customStyle="1" w:styleId="CommentSubjectChar">
    <w:name w:val="Comment Subject Char"/>
    <w:basedOn w:val="CommentTextChar"/>
    <w:link w:val="CommentSubject"/>
    <w:uiPriority w:val="99"/>
    <w:semiHidden/>
    <w:rsid w:val="0071452B"/>
    <w:rPr>
      <w:rFonts w:ascii="Times New Roman" w:eastAsia="Times New Roman" w:hAnsi="Times New Roman" w:cs="Times New Roman"/>
      <w:b/>
      <w:bCs/>
      <w:snapToGrid/>
      <w:sz w:val="20"/>
      <w:szCs w:val="20"/>
    </w:rPr>
  </w:style>
  <w:style w:type="paragraph" w:styleId="Revision">
    <w:name w:val="Revision"/>
    <w:hidden/>
    <w:uiPriority w:val="99"/>
    <w:semiHidden/>
    <w:rsid w:val="00AE341F"/>
    <w:pPr>
      <w:spacing w:after="0" w:line="240" w:lineRule="auto"/>
    </w:pPr>
    <w:rPr>
      <w:rFonts w:ascii="Times New Roman" w:hAnsi="Times New Roman"/>
      <w:sz w:val="24"/>
    </w:rPr>
  </w:style>
  <w:style w:type="paragraph" w:customStyle="1" w:styleId="Default">
    <w:name w:val="Default"/>
    <w:rsid w:val="00B731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A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0870">
      <w:bodyDiv w:val="1"/>
      <w:marLeft w:val="0"/>
      <w:marRight w:val="0"/>
      <w:marTop w:val="0"/>
      <w:marBottom w:val="0"/>
      <w:divBdr>
        <w:top w:val="none" w:sz="0" w:space="0" w:color="auto"/>
        <w:left w:val="none" w:sz="0" w:space="0" w:color="auto"/>
        <w:bottom w:val="none" w:sz="0" w:space="0" w:color="auto"/>
        <w:right w:val="none" w:sz="0" w:space="0" w:color="auto"/>
      </w:divBdr>
    </w:div>
    <w:div w:id="707031630">
      <w:bodyDiv w:val="1"/>
      <w:marLeft w:val="0"/>
      <w:marRight w:val="0"/>
      <w:marTop w:val="0"/>
      <w:marBottom w:val="0"/>
      <w:divBdr>
        <w:top w:val="none" w:sz="0" w:space="0" w:color="auto"/>
        <w:left w:val="none" w:sz="0" w:space="0" w:color="auto"/>
        <w:bottom w:val="none" w:sz="0" w:space="0" w:color="auto"/>
        <w:right w:val="none" w:sz="0" w:space="0" w:color="auto"/>
      </w:divBdr>
    </w:div>
    <w:div w:id="16520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ylora@oh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endors.ehawaii.gov/hce/splash/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BCDEAAEA4F149B1ACDB7FB1814EF5" ma:contentTypeVersion="12" ma:contentTypeDescription="Create a new document." ma:contentTypeScope="" ma:versionID="103ad472ae731554ee9c8e3cc62d09d6">
  <xsd:schema xmlns:xsd="http://www.w3.org/2001/XMLSchema" xmlns:xs="http://www.w3.org/2001/XMLSchema" xmlns:p="http://schemas.microsoft.com/office/2006/metadata/properties" xmlns:ns2="2e262e6b-24bc-4c64-a2f4-b7a766b9ac01" xmlns:ns3="696a05ed-f462-445c-852d-43b910d440a5" targetNamespace="http://schemas.microsoft.com/office/2006/metadata/properties" ma:root="true" ma:fieldsID="afad35b1bc5e5e54cefdf96adf9e2b25" ns2:_="" ns3:_="">
    <xsd:import namespace="2e262e6b-24bc-4c64-a2f4-b7a766b9ac01"/>
    <xsd:import namespace="696a05ed-f462-445c-852d-43b910d440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62e6b-24bc-4c64-a2f4-b7a766b9a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a05ed-f462-445c-852d-43b910d440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F968-A420-4629-A394-9931BC42B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55527-472A-43B7-8603-F7F3BED1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62e6b-24bc-4c64-a2f4-b7a766b9ac01"/>
    <ds:schemaRef ds:uri="696a05ed-f462-445c-852d-43b910d44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5BC-A604-4095-9D47-00CBE4F35D49}">
  <ds:schemaRefs>
    <ds:schemaRef ds:uri="http://schemas.microsoft.com/sharepoint/v3/contenttype/forms"/>
  </ds:schemaRefs>
</ds:datastoreItem>
</file>

<file path=customXml/itemProps4.xml><?xml version="1.0" encoding="utf-8"?>
<ds:datastoreItem xmlns:ds="http://schemas.openxmlformats.org/officeDocument/2006/customXml" ds:itemID="{6C7B4DCB-BB3A-480D-B753-7595BCB7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Matsuura</dc:creator>
  <cp:keywords/>
  <dc:description/>
  <cp:lastModifiedBy>Geena Chau</cp:lastModifiedBy>
  <cp:revision>127</cp:revision>
  <cp:lastPrinted>2019-06-21T20:30:00Z</cp:lastPrinted>
  <dcterms:created xsi:type="dcterms:W3CDTF">2020-05-12T16:22:00Z</dcterms:created>
  <dcterms:modified xsi:type="dcterms:W3CDTF">2020-06-04T23:28:00Z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0x01010007CBCDEAAEA4F149B1ACDB7FB1814EF5</vt:lpwstr>
  </property>
</Properties>
</file>